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5C32C393" w:rsidR="00A70556" w:rsidRDefault="00814CBD" w:rsidP="00814CBD">
            <w:pPr>
              <w:spacing w:after="0" w:line="276" w:lineRule="auto"/>
            </w:pPr>
            <w:r>
              <w:t>Fondo de Infraestructura Social p</w:t>
            </w:r>
            <w:r w:rsidRPr="00814CBD">
              <w:t xml:space="preserve">ara </w:t>
            </w:r>
            <w:r>
              <w:t>l</w:t>
            </w:r>
            <w:r w:rsidRPr="00814CBD">
              <w:t xml:space="preserve">as </w:t>
            </w:r>
            <w:r>
              <w:t>E</w:t>
            </w:r>
            <w:r w:rsidRPr="00814CBD">
              <w:t>ntidades (FISE)</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814CBD" w14:paraId="1D014C1E" w14:textId="77777777" w:rsidTr="009F4211">
        <w:trPr>
          <w:trHeight w:val="340"/>
        </w:trPr>
        <w:tc>
          <w:tcPr>
            <w:tcW w:w="4712" w:type="dxa"/>
            <w:gridSpan w:val="2"/>
            <w:shd w:val="clear" w:color="auto" w:fill="auto"/>
            <w:vAlign w:val="center"/>
          </w:tcPr>
          <w:p w14:paraId="404D8B68" w14:textId="3D18C9AA" w:rsidR="00814CBD" w:rsidRPr="00EA442D" w:rsidRDefault="00814CBD" w:rsidP="00814CBD">
            <w:pPr>
              <w:spacing w:after="0" w:line="276" w:lineRule="auto"/>
              <w:jc w:val="center"/>
              <w:rPr>
                <w:b/>
                <w:bCs/>
              </w:rPr>
            </w:pPr>
            <w:r w:rsidRPr="00EA442D">
              <w:t>19/06/2023</w:t>
            </w:r>
          </w:p>
        </w:tc>
        <w:tc>
          <w:tcPr>
            <w:tcW w:w="5206" w:type="dxa"/>
            <w:gridSpan w:val="2"/>
            <w:shd w:val="clear" w:color="auto" w:fill="auto"/>
            <w:vAlign w:val="center"/>
          </w:tcPr>
          <w:p w14:paraId="79E9E4F4" w14:textId="3681551D" w:rsidR="00814CBD" w:rsidRPr="00A70556" w:rsidRDefault="00814CBD" w:rsidP="00814CBD">
            <w:pPr>
              <w:spacing w:after="0" w:line="276" w:lineRule="auto"/>
              <w:jc w:val="center"/>
              <w:rPr>
                <w:b/>
                <w:bCs/>
              </w:rPr>
            </w:pPr>
            <w:r w:rsidRPr="00EA442D">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14:paraId="37454C6A" w14:textId="77777777" w:rsidTr="00E06043">
        <w:trPr>
          <w:trHeight w:val="340"/>
        </w:trPr>
        <w:tc>
          <w:tcPr>
            <w:tcW w:w="9918" w:type="dxa"/>
            <w:gridSpan w:val="4"/>
            <w:shd w:val="clear" w:color="auto" w:fill="auto"/>
          </w:tcPr>
          <w:p w14:paraId="4D3162BB" w14:textId="77777777" w:rsidR="00814CBD" w:rsidRPr="00CC7786" w:rsidRDefault="00814CBD" w:rsidP="00814CBD">
            <w:pPr>
              <w:pStyle w:val="Prrafodelista"/>
              <w:spacing w:after="0" w:line="276" w:lineRule="auto"/>
              <w:ind w:left="37"/>
              <w:jc w:val="both"/>
              <w:rPr>
                <w:bCs/>
              </w:rPr>
            </w:pPr>
            <w:r w:rsidRPr="00CC7786">
              <w:rPr>
                <w:bCs/>
              </w:rPr>
              <w:t>Ing. Jehovany Torres Ayala, Coordinador de Gestión e Inversión de la Secretaría de Bienestar y Desarrollo</w:t>
            </w:r>
          </w:p>
          <w:p w14:paraId="78C4F704" w14:textId="7AA584DC" w:rsidR="009F4211" w:rsidRPr="00581B4A" w:rsidRDefault="00814CBD" w:rsidP="00814CBD">
            <w:pPr>
              <w:pStyle w:val="Prrafodelista"/>
              <w:spacing w:after="0" w:line="276" w:lineRule="auto"/>
              <w:ind w:left="37"/>
              <w:jc w:val="both"/>
              <w:rPr>
                <w:b/>
                <w:bCs/>
              </w:rPr>
            </w:pPr>
            <w:r w:rsidRPr="00CC7786">
              <w:rPr>
                <w:bCs/>
              </w:rPr>
              <w:t>Sustentable</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35318C8" w:rsidR="00B920F2" w:rsidRDefault="00814CBD" w:rsidP="00521401">
      <w:pPr>
        <w:pStyle w:val="Prrafodelista"/>
        <w:spacing w:after="0" w:line="276" w:lineRule="auto"/>
        <w:ind w:left="142"/>
        <w:jc w:val="both"/>
      </w:pPr>
      <w:r w:rsidRPr="00814CBD">
        <w:t>Evaluar la consistencia y orientación a resultados del K 174 Fondo para la Infraestructura Social de las Entidades (FISE)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AC0937F" w14:textId="77777777" w:rsidR="00814CBD" w:rsidRDefault="00814CBD" w:rsidP="00814CB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E73E8F" w14:textId="77777777" w:rsidR="00814CBD" w:rsidRDefault="00814CBD" w:rsidP="00814CBD">
      <w:pPr>
        <w:pStyle w:val="Prrafodelista"/>
        <w:numPr>
          <w:ilvl w:val="0"/>
          <w:numId w:val="2"/>
        </w:numPr>
        <w:spacing w:after="0" w:line="276" w:lineRule="auto"/>
        <w:jc w:val="both"/>
      </w:pPr>
      <w:r>
        <w:t>Identificar si el programa cuenta con instrumentos de planeación y orientación hacia resultados.</w:t>
      </w:r>
    </w:p>
    <w:p w14:paraId="0A57E279" w14:textId="77777777" w:rsidR="00814CBD" w:rsidRDefault="00814CBD" w:rsidP="00814CB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6897EC5C" w14:textId="77777777" w:rsidR="00814CBD" w:rsidRDefault="00814CBD" w:rsidP="00814CB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27536C4D" w14:textId="77777777" w:rsidR="00814CBD" w:rsidRDefault="00814CBD" w:rsidP="00814CB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522E2624" w:rsidR="009B7088" w:rsidRDefault="00814CBD" w:rsidP="00814CB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34573D" w:rsidRPr="00814CBD">
        <w:t>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814CBD" w:rsidRDefault="0034573D" w:rsidP="0034573D">
            <w:pPr>
              <w:spacing w:after="0" w:line="240" w:lineRule="auto"/>
              <w:jc w:val="center"/>
              <w:rPr>
                <w:bCs/>
              </w:rPr>
            </w:pPr>
            <w:r w:rsidRPr="00814CBD">
              <w:rPr>
                <w:bCs/>
              </w:rPr>
              <w:t>X</w:t>
            </w:r>
          </w:p>
        </w:tc>
        <w:tc>
          <w:tcPr>
            <w:tcW w:w="2126" w:type="dxa"/>
            <w:vAlign w:val="center"/>
          </w:tcPr>
          <w:p w14:paraId="1F71ABFD" w14:textId="77777777" w:rsidR="00581B4A" w:rsidRPr="00814CBD" w:rsidRDefault="00581B4A" w:rsidP="00090637">
            <w:pPr>
              <w:spacing w:after="0" w:line="276" w:lineRule="auto"/>
              <w:jc w:val="center"/>
              <w:rPr>
                <w:b/>
                <w:bCs/>
              </w:rPr>
            </w:pPr>
          </w:p>
        </w:tc>
        <w:tc>
          <w:tcPr>
            <w:tcW w:w="1843" w:type="dxa"/>
            <w:vAlign w:val="center"/>
          </w:tcPr>
          <w:p w14:paraId="66DFD63C" w14:textId="77777777" w:rsidR="00581B4A" w:rsidRPr="00814CBD" w:rsidRDefault="00581B4A" w:rsidP="00090637">
            <w:pPr>
              <w:spacing w:after="0" w:line="276" w:lineRule="auto"/>
              <w:jc w:val="center"/>
            </w:pPr>
            <w:r w:rsidRPr="00814CBD">
              <w:t>X</w:t>
            </w:r>
          </w:p>
        </w:tc>
        <w:tc>
          <w:tcPr>
            <w:tcW w:w="3260" w:type="dxa"/>
            <w:vAlign w:val="center"/>
          </w:tcPr>
          <w:p w14:paraId="342AA705" w14:textId="77777777" w:rsidR="00581B4A" w:rsidRPr="00814CBD" w:rsidRDefault="00581B4A" w:rsidP="00090637">
            <w:pPr>
              <w:spacing w:after="0" w:line="276" w:lineRule="auto"/>
              <w:jc w:val="center"/>
            </w:pPr>
            <w:r w:rsidRPr="00814CBD">
              <w:t>Esquema de la Evaluación</w:t>
            </w:r>
          </w:p>
          <w:p w14:paraId="635641E2" w14:textId="4A2E2A15" w:rsidR="00581B4A" w:rsidRPr="00581B4A" w:rsidRDefault="00EC7832" w:rsidP="00090637">
            <w:pPr>
              <w:spacing w:after="0" w:line="276" w:lineRule="auto"/>
              <w:jc w:val="center"/>
              <w:rPr>
                <w:b/>
                <w:bCs/>
              </w:rPr>
            </w:pPr>
            <w:r w:rsidRPr="00814CBD">
              <w:t>d</w:t>
            </w:r>
            <w:r w:rsidR="0034573D" w:rsidRPr="00814CBD">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44080EF7" w:rsidR="00113BCD" w:rsidRDefault="00814CBD" w:rsidP="00113BCD">
      <w:pPr>
        <w:ind w:left="708"/>
        <w:jc w:val="both"/>
      </w:pPr>
      <w:r w:rsidRPr="00814CBD">
        <w:t>El Fondo de Infraestructura Social para las Entidades, tiene como objetivo el financiamiento de obras que beneficien directamente a la población en pobreza extrema, localidades con alto o muy alto grado de rezago social y en las ZAP urbanas y rurales, a fin de reducir el rezago en infraestructura social básica, para el ejercicio 2022 se asignó el monto de $145,235,359.00, el mecanismo para beneficiar a la población es a través de los gobiernos municipales que solicitan las obras a la Secretaría de Bienestar y Desarrollo Sustentable</w:t>
      </w:r>
      <w:r>
        <w:t>.</w:t>
      </w:r>
    </w:p>
    <w:p w14:paraId="29E56881" w14:textId="77777777" w:rsidR="00814CBD" w:rsidRDefault="00814CBD" w:rsidP="00814CBD">
      <w:pPr>
        <w:ind w:left="708"/>
        <w:jc w:val="both"/>
      </w:pPr>
      <w:r>
        <w:t>A través de este Fondo se realizan proyectos de infraestructura en los que se incluye:</w:t>
      </w:r>
    </w:p>
    <w:p w14:paraId="60E6D775" w14:textId="7A9C1B81" w:rsidR="00814CBD" w:rsidRDefault="00814CBD" w:rsidP="00814CBD">
      <w:pPr>
        <w:pStyle w:val="Prrafodelista"/>
        <w:numPr>
          <w:ilvl w:val="0"/>
          <w:numId w:val="31"/>
        </w:numPr>
        <w:jc w:val="both"/>
      </w:pPr>
      <w:r>
        <w:t>Agua potable.</w:t>
      </w:r>
    </w:p>
    <w:p w14:paraId="12E47EFF" w14:textId="5D0A028E" w:rsidR="00814CBD" w:rsidRDefault="00814CBD" w:rsidP="00814CBD">
      <w:pPr>
        <w:pStyle w:val="Prrafodelista"/>
        <w:numPr>
          <w:ilvl w:val="0"/>
          <w:numId w:val="31"/>
        </w:numPr>
        <w:jc w:val="both"/>
      </w:pPr>
      <w:r>
        <w:t>Alcantarillado.</w:t>
      </w:r>
    </w:p>
    <w:p w14:paraId="62E8A7CB" w14:textId="5863D3D5" w:rsidR="00814CBD" w:rsidRDefault="00814CBD" w:rsidP="00814CBD">
      <w:pPr>
        <w:pStyle w:val="Prrafodelista"/>
        <w:numPr>
          <w:ilvl w:val="0"/>
          <w:numId w:val="31"/>
        </w:numPr>
        <w:jc w:val="both"/>
      </w:pPr>
      <w:r>
        <w:t>Drenaje y letrinas.</w:t>
      </w:r>
    </w:p>
    <w:p w14:paraId="127A0891" w14:textId="5C800CBA" w:rsidR="00814CBD" w:rsidRDefault="00814CBD" w:rsidP="00814CBD">
      <w:pPr>
        <w:pStyle w:val="Prrafodelista"/>
        <w:numPr>
          <w:ilvl w:val="0"/>
          <w:numId w:val="31"/>
        </w:numPr>
        <w:jc w:val="both"/>
      </w:pPr>
      <w:r>
        <w:t>Electrificación.</w:t>
      </w:r>
    </w:p>
    <w:p w14:paraId="6EA752C7" w14:textId="54BE4FB8" w:rsidR="00814CBD" w:rsidRDefault="00814CBD" w:rsidP="00814CBD">
      <w:pPr>
        <w:pStyle w:val="Prrafodelista"/>
        <w:numPr>
          <w:ilvl w:val="0"/>
          <w:numId w:val="31"/>
        </w:numPr>
        <w:jc w:val="both"/>
      </w:pPr>
      <w:r>
        <w:t>Infraestructura básica del sector educativo.</w:t>
      </w:r>
    </w:p>
    <w:p w14:paraId="241F8DA9" w14:textId="6B451A05" w:rsidR="00814CBD" w:rsidRDefault="00814CBD" w:rsidP="00814CBD">
      <w:pPr>
        <w:pStyle w:val="Prrafodelista"/>
        <w:numPr>
          <w:ilvl w:val="0"/>
          <w:numId w:val="31"/>
        </w:numPr>
        <w:jc w:val="both"/>
      </w:pPr>
      <w:r>
        <w:t>Infraestructura básica del sector salud.</w:t>
      </w:r>
    </w:p>
    <w:p w14:paraId="698A5F7D" w14:textId="7AFC564D" w:rsidR="00814CBD" w:rsidRDefault="00814CBD" w:rsidP="00814CBD">
      <w:pPr>
        <w:pStyle w:val="Prrafodelista"/>
        <w:numPr>
          <w:ilvl w:val="0"/>
          <w:numId w:val="31"/>
        </w:numPr>
        <w:jc w:val="both"/>
      </w:pPr>
      <w:r>
        <w:t>Mejoramiento de vivienda.</w:t>
      </w:r>
    </w:p>
    <w:p w14:paraId="0432F72C" w14:textId="0CB25FA7" w:rsidR="00814CBD" w:rsidRDefault="00814CBD" w:rsidP="00C86DD4">
      <w:pPr>
        <w:pStyle w:val="Prrafodelista"/>
        <w:numPr>
          <w:ilvl w:val="0"/>
          <w:numId w:val="31"/>
        </w:numPr>
        <w:spacing w:after="0"/>
        <w:jc w:val="both"/>
      </w:pPr>
      <w:r>
        <w:t>Urbanización.</w:t>
      </w:r>
    </w:p>
    <w:p w14:paraId="320C31C1" w14:textId="77777777" w:rsidR="00814CBD" w:rsidRPr="002F6A18" w:rsidRDefault="00814CBD" w:rsidP="00C86DD4">
      <w:pPr>
        <w:spacing w:after="0" w:line="240" w:lineRule="auto"/>
        <w:ind w:left="708"/>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2142AA50" w:rsidR="00B72B03" w:rsidRDefault="00B72B03" w:rsidP="00C86DD4">
      <w:pPr>
        <w:pStyle w:val="Prrafodelista"/>
        <w:numPr>
          <w:ilvl w:val="2"/>
          <w:numId w:val="5"/>
        </w:numPr>
        <w:spacing w:after="0" w:line="276" w:lineRule="auto"/>
        <w:ind w:left="993" w:hanging="567"/>
        <w:jc w:val="both"/>
        <w:rPr>
          <w:b/>
          <w:bCs/>
        </w:rPr>
      </w:pPr>
      <w:r>
        <w:rPr>
          <w:b/>
          <w:bCs/>
        </w:rPr>
        <w:t>Fortalezas</w:t>
      </w:r>
      <w:r w:rsidR="00814CBD">
        <w:rPr>
          <w:b/>
          <w:bCs/>
        </w:rPr>
        <w:t xml:space="preserve"> y oportunidades:</w:t>
      </w:r>
    </w:p>
    <w:p w14:paraId="3A8FEB1C" w14:textId="77777777" w:rsidR="00C86DD4" w:rsidRDefault="00C86DD4" w:rsidP="00C86DD4">
      <w:pPr>
        <w:pStyle w:val="Prrafodelista"/>
        <w:numPr>
          <w:ilvl w:val="0"/>
          <w:numId w:val="8"/>
        </w:numPr>
        <w:spacing w:line="276" w:lineRule="auto"/>
        <w:jc w:val="both"/>
      </w:pPr>
      <w:r>
        <w:t>El fondo se encuentra alineado al del Plan Nacional de Desarrollo 2019 – 2024 y Programa Sectorial de Bienestar 2020-2024.</w:t>
      </w:r>
    </w:p>
    <w:p w14:paraId="3E3B73B4" w14:textId="77777777" w:rsidR="00C86DD4" w:rsidRDefault="00C86DD4" w:rsidP="00C86DD4">
      <w:pPr>
        <w:pStyle w:val="Prrafodelista"/>
        <w:numPr>
          <w:ilvl w:val="0"/>
          <w:numId w:val="8"/>
        </w:numPr>
        <w:spacing w:line="276" w:lineRule="auto"/>
        <w:jc w:val="both"/>
      </w:pPr>
      <w:r>
        <w:t>El fondo se encuentra alineado al Plan Estatal de Desarrollo 2022 – 2027 y al Programa Sectorial de Bienestar Social Sostenible 2022-2027.</w:t>
      </w:r>
    </w:p>
    <w:p w14:paraId="09D294C3" w14:textId="77777777" w:rsidR="00C86DD4" w:rsidRDefault="00C86DD4" w:rsidP="00C86DD4">
      <w:pPr>
        <w:pStyle w:val="Prrafodelista"/>
        <w:numPr>
          <w:ilvl w:val="0"/>
          <w:numId w:val="8"/>
        </w:numPr>
        <w:spacing w:line="276" w:lineRule="auto"/>
        <w:jc w:val="both"/>
      </w:pPr>
      <w:r>
        <w:t>El fondo se encuentra alineado a los Objetivos de Desarrollo Sostenible de la agenda 2030.</w:t>
      </w:r>
    </w:p>
    <w:p w14:paraId="6EA1C48B" w14:textId="77777777" w:rsidR="00C86DD4" w:rsidRDefault="00C86DD4" w:rsidP="00C86DD4">
      <w:pPr>
        <w:pStyle w:val="Prrafodelista"/>
        <w:numPr>
          <w:ilvl w:val="0"/>
          <w:numId w:val="8"/>
        </w:numPr>
        <w:spacing w:line="276" w:lineRule="auto"/>
        <w:jc w:val="both"/>
      </w:pPr>
      <w:r>
        <w:t>Se identifican las causas del problema que busca resolver el FISE.</w:t>
      </w:r>
    </w:p>
    <w:p w14:paraId="4EFE022E" w14:textId="77777777" w:rsidR="00C86DD4" w:rsidRDefault="00C86DD4" w:rsidP="00C86DD4">
      <w:pPr>
        <w:pStyle w:val="Prrafodelista"/>
        <w:numPr>
          <w:ilvl w:val="0"/>
          <w:numId w:val="8"/>
        </w:numPr>
        <w:spacing w:line="276" w:lineRule="auto"/>
        <w:jc w:val="both"/>
      </w:pPr>
      <w:r>
        <w:t>Se contribuye a disminuir el rezago social y la pobreza extrema en el Estado de Sinaloa.</w:t>
      </w:r>
    </w:p>
    <w:p w14:paraId="01A677F4" w14:textId="77777777" w:rsidR="00C86DD4" w:rsidRDefault="00C86DD4" w:rsidP="00C86DD4">
      <w:pPr>
        <w:pStyle w:val="Prrafodelista"/>
        <w:numPr>
          <w:ilvl w:val="0"/>
          <w:numId w:val="8"/>
        </w:numPr>
        <w:spacing w:line="276" w:lineRule="auto"/>
        <w:jc w:val="both"/>
      </w:pPr>
      <w:r>
        <w:t>Se define la de población potencial, objetivo y atendida.</w:t>
      </w:r>
    </w:p>
    <w:p w14:paraId="6A548BED" w14:textId="77777777" w:rsidR="00C86DD4" w:rsidRDefault="00C86DD4" w:rsidP="00C86DD4">
      <w:pPr>
        <w:pStyle w:val="Prrafodelista"/>
        <w:numPr>
          <w:ilvl w:val="0"/>
          <w:numId w:val="8"/>
        </w:numPr>
        <w:spacing w:line="276" w:lineRule="auto"/>
        <w:jc w:val="both"/>
      </w:pPr>
      <w:r>
        <w:t>Se cuenta con el Sistema Federal de Recursos Transferidos (SFRT).</w:t>
      </w:r>
    </w:p>
    <w:p w14:paraId="4888FD75" w14:textId="77777777" w:rsidR="00C86DD4" w:rsidRDefault="00C86DD4" w:rsidP="00C86DD4">
      <w:pPr>
        <w:pStyle w:val="Prrafodelista"/>
        <w:numPr>
          <w:ilvl w:val="0"/>
          <w:numId w:val="8"/>
        </w:numPr>
        <w:spacing w:line="276" w:lineRule="auto"/>
        <w:jc w:val="both"/>
      </w:pPr>
      <w:r>
        <w:t>La Secretaría de Bienestar y Desarrollo Sustentable, se cuenta con una comisión de vivienda (CVIVE), con la cual se pueden mezclar los recursos, así como con los municipios el recurso FAISMUN se pueden mezclar para generar obras de mayor impacto.</w:t>
      </w:r>
    </w:p>
    <w:p w14:paraId="4A704832" w14:textId="77777777" w:rsidR="00C86DD4" w:rsidRDefault="00C86DD4" w:rsidP="00C86DD4">
      <w:pPr>
        <w:pStyle w:val="Prrafodelista"/>
        <w:numPr>
          <w:ilvl w:val="0"/>
          <w:numId w:val="8"/>
        </w:numPr>
        <w:spacing w:line="276" w:lineRule="auto"/>
        <w:jc w:val="both"/>
      </w:pPr>
      <w:r>
        <w:t>Se realizó una evaluación interna al FISE y se derivaron ASM, los cuales, se han atendido en un 59% mismos que fueron realizados por la SEBIDES.</w:t>
      </w:r>
    </w:p>
    <w:p w14:paraId="508E8612" w14:textId="77777777" w:rsidR="00C86DD4" w:rsidRDefault="00C86DD4" w:rsidP="00C86DD4">
      <w:pPr>
        <w:pStyle w:val="Prrafodelista"/>
        <w:numPr>
          <w:ilvl w:val="0"/>
          <w:numId w:val="8"/>
        </w:numPr>
        <w:spacing w:line="276" w:lineRule="auto"/>
        <w:jc w:val="both"/>
      </w:pPr>
      <w:r>
        <w:t>En el presupuesto de egresos de la federación, se determina el monto a utilizar, además en la Matriz de Inversión para el Desarrollo Social, marca claramente cómo utilizar dicho recurso.</w:t>
      </w:r>
    </w:p>
    <w:p w14:paraId="06BA4D90" w14:textId="77777777" w:rsidR="00C86DD4" w:rsidRDefault="00C86DD4" w:rsidP="00C86DD4">
      <w:pPr>
        <w:pStyle w:val="Prrafodelista"/>
        <w:numPr>
          <w:ilvl w:val="0"/>
          <w:numId w:val="8"/>
        </w:numPr>
        <w:spacing w:line="276" w:lineRule="auto"/>
        <w:jc w:val="both"/>
      </w:pPr>
      <w:r>
        <w:t>Se cuenta con la información capturada en la MIDS, pero esta es diferente a la que se captura en el SRFT.</w:t>
      </w:r>
    </w:p>
    <w:p w14:paraId="343E4BCE" w14:textId="77777777" w:rsidR="00C86DD4" w:rsidRDefault="00C86DD4" w:rsidP="00C86DD4">
      <w:pPr>
        <w:pStyle w:val="Prrafodelista"/>
        <w:numPr>
          <w:ilvl w:val="0"/>
          <w:numId w:val="8"/>
        </w:numPr>
        <w:spacing w:line="276" w:lineRule="auto"/>
        <w:jc w:val="both"/>
      </w:pPr>
      <w:r>
        <w:lastRenderedPageBreak/>
        <w:t>La información del informe anual de pobreza y rezago social se toma en cuenta para guiar la planeación de los proyectos de obras a realizar con el Fondo de Infraestructura Social para las Entidades, en cumplimiento con lo dispuesto en la Ley de Coordinación Fiscal.</w:t>
      </w:r>
    </w:p>
    <w:p w14:paraId="54EEE40B" w14:textId="77777777" w:rsidR="00C86DD4" w:rsidRDefault="00C86DD4" w:rsidP="00C86DD4">
      <w:pPr>
        <w:pStyle w:val="Prrafodelista"/>
        <w:numPr>
          <w:ilvl w:val="0"/>
          <w:numId w:val="8"/>
        </w:numPr>
        <w:spacing w:line="276" w:lineRule="auto"/>
        <w:jc w:val="both"/>
      </w:pPr>
      <w:r>
        <w:t>La población objetivo se identifica conforme lo señalado en la Ley de Coordinación Fiscal, el Informe Anual de Pobreza y Rezago Social, la Ley General de Desarrollo Social y en las Zonas identificadas de Atención Prioritarias.</w:t>
      </w:r>
    </w:p>
    <w:p w14:paraId="6BAF5B67" w14:textId="77777777" w:rsidR="00C86DD4" w:rsidRDefault="00C86DD4" w:rsidP="00C86DD4">
      <w:pPr>
        <w:pStyle w:val="Prrafodelista"/>
        <w:numPr>
          <w:ilvl w:val="0"/>
          <w:numId w:val="8"/>
        </w:numPr>
        <w:spacing w:line="276" w:lineRule="auto"/>
        <w:jc w:val="both"/>
      </w:pPr>
      <w:r>
        <w:t>En el ejercicio fiscal 2022 se benefició a 189,125 personas.</w:t>
      </w:r>
    </w:p>
    <w:p w14:paraId="41525D5A" w14:textId="77777777" w:rsidR="00C86DD4" w:rsidRDefault="00C86DD4" w:rsidP="00C86DD4">
      <w:pPr>
        <w:pStyle w:val="Prrafodelista"/>
        <w:numPr>
          <w:ilvl w:val="0"/>
          <w:numId w:val="8"/>
        </w:numPr>
        <w:spacing w:line="276" w:lineRule="auto"/>
        <w:jc w:val="both"/>
      </w:pPr>
      <w:r>
        <w:t>Se cuenta con un diagrama de flujo, el cual se deriva de los lineamientos generales y en ellos se establecen claramente el proceso a seguir.</w:t>
      </w:r>
    </w:p>
    <w:p w14:paraId="0FD424EF" w14:textId="77777777" w:rsidR="00C86DD4" w:rsidRDefault="00C86DD4" w:rsidP="00C86DD4">
      <w:pPr>
        <w:pStyle w:val="Prrafodelista"/>
        <w:numPr>
          <w:ilvl w:val="0"/>
          <w:numId w:val="8"/>
        </w:numPr>
        <w:spacing w:line="276" w:lineRule="auto"/>
        <w:jc w:val="both"/>
      </w:pPr>
      <w:r>
        <w:t>Se cuenta con mecanismo electrónico en el que los municipios plasman la localidad de las personas solicitantes, con ello podemos conocer si su localidad pertenece a las ZAP, así como el número de personas a beneficiar con la obra solicitada.</w:t>
      </w:r>
    </w:p>
    <w:p w14:paraId="58999321" w14:textId="77777777" w:rsidR="00C86DD4" w:rsidRDefault="00C86DD4" w:rsidP="00C86DD4">
      <w:pPr>
        <w:pStyle w:val="Prrafodelista"/>
        <w:numPr>
          <w:ilvl w:val="0"/>
          <w:numId w:val="8"/>
        </w:numPr>
        <w:spacing w:line="276" w:lineRule="auto"/>
        <w:jc w:val="both"/>
      </w:pPr>
      <w:r>
        <w:t>La población objetivo solicita a los H. Ayuntamientos obras que sean de beneficio para su localidad, a su vez el H. Ayuntamiento solicita la obra al Gobierno del Estado a través de la SEBIDES, por medio de un documento de Excel en el que se proporciona información general de la obra solicitada, para dar continuidad a la obra solicitada, el H. Ayuntamiento elabora un expediente con presupuestos y justificación para la elaboración.</w:t>
      </w:r>
    </w:p>
    <w:p w14:paraId="16AE3C92" w14:textId="77777777" w:rsidR="00C86DD4" w:rsidRDefault="00C86DD4" w:rsidP="00C86DD4">
      <w:pPr>
        <w:pStyle w:val="Prrafodelista"/>
        <w:numPr>
          <w:ilvl w:val="0"/>
          <w:numId w:val="8"/>
        </w:numPr>
        <w:spacing w:line="276" w:lineRule="auto"/>
        <w:jc w:val="both"/>
      </w:pPr>
      <w:r>
        <w:t>La SEBIDES cuenta con un formato para recepción de solicitudes.</w:t>
      </w:r>
    </w:p>
    <w:p w14:paraId="35566FE0" w14:textId="77777777" w:rsidR="00C86DD4" w:rsidRDefault="00C86DD4" w:rsidP="00C86DD4">
      <w:pPr>
        <w:pStyle w:val="Prrafodelista"/>
        <w:numPr>
          <w:ilvl w:val="0"/>
          <w:numId w:val="8"/>
        </w:numPr>
        <w:spacing w:line="276" w:lineRule="auto"/>
        <w:jc w:val="both"/>
      </w:pPr>
      <w:r>
        <w:t>Los lineamientos generales definen el tipo de población a beneficiar y son utilizadas para determinar cuales si cumplen y cuáles no.</w:t>
      </w:r>
    </w:p>
    <w:p w14:paraId="500EBF1D" w14:textId="77777777" w:rsidR="00C86DD4" w:rsidRDefault="00C86DD4" w:rsidP="00C86DD4">
      <w:pPr>
        <w:pStyle w:val="Prrafodelista"/>
        <w:numPr>
          <w:ilvl w:val="0"/>
          <w:numId w:val="8"/>
        </w:numPr>
        <w:spacing w:line="276" w:lineRule="auto"/>
        <w:jc w:val="both"/>
      </w:pPr>
      <w:r>
        <w:t>La plataforma de planeación MIDS nos permite identificar si una solicitud es elegible y cuenta con los documentos normativos para su ejecución, están estandarizados, sistematizados y son conocidos por los operadores del fondo.</w:t>
      </w:r>
    </w:p>
    <w:p w14:paraId="60C69419" w14:textId="77777777" w:rsidR="00C86DD4" w:rsidRDefault="00C86DD4" w:rsidP="00C86DD4">
      <w:pPr>
        <w:pStyle w:val="Prrafodelista"/>
        <w:numPr>
          <w:ilvl w:val="0"/>
          <w:numId w:val="8"/>
        </w:numPr>
        <w:spacing w:line="276" w:lineRule="auto"/>
        <w:jc w:val="both"/>
      </w:pPr>
      <w:r>
        <w:t>Los procedimientos para otorgar los apoyos a los beneficiarios se realizan de acorde a los lineamientos generales del FAIS por la unidad ejecutora que es SEBIDES, apegándose al documento normativo.</w:t>
      </w:r>
    </w:p>
    <w:p w14:paraId="3D2C77BF" w14:textId="77777777" w:rsidR="00C86DD4" w:rsidRDefault="00C86DD4" w:rsidP="00C86DD4">
      <w:pPr>
        <w:pStyle w:val="Prrafodelista"/>
        <w:numPr>
          <w:ilvl w:val="0"/>
          <w:numId w:val="8"/>
        </w:numPr>
        <w:spacing w:line="276" w:lineRule="auto"/>
        <w:jc w:val="both"/>
      </w:pPr>
      <w:r>
        <w:t>Se cuenta con un sistema para la verificación de la entrega de apoyos, antes de realizar un pago se verifica que cumpla con algunos requisitos.</w:t>
      </w:r>
    </w:p>
    <w:p w14:paraId="6DFAAD1B" w14:textId="77777777" w:rsidR="00C86DD4" w:rsidRDefault="00C86DD4" w:rsidP="00C86DD4">
      <w:pPr>
        <w:pStyle w:val="Prrafodelista"/>
        <w:numPr>
          <w:ilvl w:val="0"/>
          <w:numId w:val="8"/>
        </w:numPr>
        <w:spacing w:line="276" w:lineRule="auto"/>
        <w:jc w:val="both"/>
      </w:pPr>
      <w:r>
        <w:t>Toda obra autorizada es verificada por personal de la SEBIDES a cargo del FISE, antes de empezar la obra, durante la ejecución de la obra y al termino.</w:t>
      </w:r>
    </w:p>
    <w:p w14:paraId="44CFD307" w14:textId="77777777" w:rsidR="00C86DD4" w:rsidRDefault="00C86DD4" w:rsidP="00C86DD4">
      <w:pPr>
        <w:pStyle w:val="Prrafodelista"/>
        <w:numPr>
          <w:ilvl w:val="0"/>
          <w:numId w:val="8"/>
        </w:numPr>
        <w:spacing w:line="276" w:lineRule="auto"/>
        <w:jc w:val="both"/>
      </w:pPr>
      <w:r>
        <w:t>No hemos enfrentado problemas para la transferencia de recursos a las instancias ejecutoras, dado que el Gobierno federal deposita puntualmente durante los primeros 10 meses del año la suma total para la ejecución del fondo.</w:t>
      </w:r>
    </w:p>
    <w:p w14:paraId="73DF94DF" w14:textId="77777777" w:rsidR="00C86DD4" w:rsidRDefault="00C86DD4" w:rsidP="00C86DD4">
      <w:pPr>
        <w:pStyle w:val="Prrafodelista"/>
        <w:numPr>
          <w:ilvl w:val="0"/>
          <w:numId w:val="8"/>
        </w:numPr>
        <w:spacing w:line="276" w:lineRule="auto"/>
        <w:jc w:val="both"/>
      </w:pPr>
      <w:r>
        <w:t>Las entidades, municipios y DTDF podrán destinar una parte proporcional equivalente al 3% de los recursos del FISE y FISMDF para la verificación y seguimiento.</w:t>
      </w:r>
    </w:p>
    <w:p w14:paraId="635F2D57" w14:textId="77777777" w:rsidR="00C86DD4" w:rsidRDefault="00C86DD4" w:rsidP="00C86DD4">
      <w:pPr>
        <w:pStyle w:val="Prrafodelista"/>
        <w:numPr>
          <w:ilvl w:val="0"/>
          <w:numId w:val="8"/>
        </w:numPr>
        <w:spacing w:line="276" w:lineRule="auto"/>
        <w:jc w:val="both"/>
      </w:pPr>
      <w:r>
        <w:t>El 100% del financiamiento de las obras es federal, la operación del fondo se realiza con presupuesto estatal.</w:t>
      </w:r>
    </w:p>
    <w:p w14:paraId="555B4609" w14:textId="77777777" w:rsidR="00C86DD4" w:rsidRDefault="00C86DD4" w:rsidP="00C86DD4">
      <w:pPr>
        <w:pStyle w:val="Prrafodelista"/>
        <w:numPr>
          <w:ilvl w:val="0"/>
          <w:numId w:val="8"/>
        </w:numPr>
        <w:spacing w:line="276" w:lineRule="auto"/>
        <w:jc w:val="both"/>
      </w:pPr>
      <w:r>
        <w:t>Se cuenta con la Matriz de Inversión para el Desarrollo Social (MIDS).</w:t>
      </w:r>
    </w:p>
    <w:p w14:paraId="299AA289" w14:textId="77777777" w:rsidR="00C86DD4" w:rsidRDefault="00C86DD4" w:rsidP="00C86DD4">
      <w:pPr>
        <w:pStyle w:val="Prrafodelista"/>
        <w:numPr>
          <w:ilvl w:val="0"/>
          <w:numId w:val="8"/>
        </w:numPr>
        <w:spacing w:line="276" w:lineRule="auto"/>
        <w:jc w:val="both"/>
      </w:pPr>
      <w:r>
        <w:t>No se cuenta con una MIR, por lo cual no existen avances en los indicadores.</w:t>
      </w:r>
    </w:p>
    <w:p w14:paraId="2C5A1E63" w14:textId="77777777" w:rsidR="00C86DD4" w:rsidRDefault="00C86DD4" w:rsidP="00C86DD4">
      <w:pPr>
        <w:pStyle w:val="Prrafodelista"/>
        <w:numPr>
          <w:ilvl w:val="0"/>
          <w:numId w:val="8"/>
        </w:numPr>
        <w:spacing w:line="276" w:lineRule="auto"/>
        <w:jc w:val="both"/>
      </w:pPr>
      <w:r>
        <w:lastRenderedPageBreak/>
        <w:t>El fondo proporciona contratos de las obras al departamento de transparencia de la SEBIDES para su publicación, en estos incluyen características de las obras, así como el costo de la misma.</w:t>
      </w:r>
    </w:p>
    <w:p w14:paraId="5B3242D7" w14:textId="650B56D8" w:rsidR="003E1018" w:rsidRPr="003E1018" w:rsidRDefault="003E1018" w:rsidP="00C86DD4">
      <w:pPr>
        <w:pStyle w:val="Prrafodelista"/>
        <w:numPr>
          <w:ilvl w:val="2"/>
          <w:numId w:val="5"/>
        </w:numPr>
        <w:spacing w:after="0" w:line="276" w:lineRule="auto"/>
        <w:ind w:left="993" w:hanging="567"/>
        <w:jc w:val="both"/>
        <w:rPr>
          <w:b/>
          <w:bCs/>
        </w:rPr>
      </w:pPr>
      <w:r w:rsidRPr="003E1018">
        <w:rPr>
          <w:b/>
          <w:bCs/>
        </w:rPr>
        <w:t>Debilidades</w:t>
      </w:r>
      <w:r w:rsidR="00814CBD">
        <w:rPr>
          <w:b/>
          <w:bCs/>
        </w:rPr>
        <w:t xml:space="preserve"> y amenazas</w:t>
      </w:r>
      <w:r w:rsidRPr="003E1018">
        <w:rPr>
          <w:b/>
          <w:bCs/>
        </w:rPr>
        <w:t>:</w:t>
      </w:r>
    </w:p>
    <w:p w14:paraId="33483C9B" w14:textId="77777777" w:rsidR="00C86DD4" w:rsidRDefault="00C86DD4" w:rsidP="00C86DD4">
      <w:pPr>
        <w:pStyle w:val="Prrafodelista"/>
        <w:numPr>
          <w:ilvl w:val="0"/>
          <w:numId w:val="8"/>
        </w:numPr>
        <w:spacing w:line="276" w:lineRule="auto"/>
        <w:jc w:val="both"/>
      </w:pPr>
      <w:r>
        <w:t>Se recomienda establecer un documento normativo, realizar un diagnóstico o árbol del problema del fondo en el Estado que contengan información sobre el problema o necesidad, su población, su cuantificación y su proceso de revisión o actualización.</w:t>
      </w:r>
    </w:p>
    <w:p w14:paraId="7549E816" w14:textId="77777777" w:rsidR="00C86DD4" w:rsidRDefault="00C86DD4" w:rsidP="00C86DD4">
      <w:pPr>
        <w:pStyle w:val="Prrafodelista"/>
        <w:numPr>
          <w:ilvl w:val="0"/>
          <w:numId w:val="8"/>
        </w:numPr>
        <w:spacing w:line="276" w:lineRule="auto"/>
        <w:jc w:val="both"/>
      </w:pPr>
      <w:r>
        <w:t>No se cuenta con un diagnóstico del problema.</w:t>
      </w:r>
    </w:p>
    <w:p w14:paraId="2F5995C5" w14:textId="77777777" w:rsidR="00C86DD4" w:rsidRDefault="00C86DD4" w:rsidP="00C86DD4">
      <w:pPr>
        <w:pStyle w:val="Prrafodelista"/>
        <w:numPr>
          <w:ilvl w:val="0"/>
          <w:numId w:val="8"/>
        </w:numPr>
        <w:spacing w:line="276" w:lineRule="auto"/>
        <w:jc w:val="both"/>
      </w:pPr>
      <w:r>
        <w:t>No se cuenta con una MIR estatal.</w:t>
      </w:r>
    </w:p>
    <w:p w14:paraId="1AD3711F" w14:textId="77777777" w:rsidR="00C86DD4" w:rsidRDefault="00C86DD4" w:rsidP="00C86DD4">
      <w:pPr>
        <w:pStyle w:val="Prrafodelista"/>
        <w:numPr>
          <w:ilvl w:val="0"/>
          <w:numId w:val="8"/>
        </w:numPr>
        <w:spacing w:line="276" w:lineRule="auto"/>
        <w:jc w:val="both"/>
      </w:pPr>
      <w:r>
        <w:t>No se cuenta con un plan estratégico estatal.</w:t>
      </w:r>
    </w:p>
    <w:p w14:paraId="3CA781D6" w14:textId="77777777" w:rsidR="00C86DD4" w:rsidRDefault="00C86DD4" w:rsidP="00C86DD4">
      <w:pPr>
        <w:pStyle w:val="Prrafodelista"/>
        <w:numPr>
          <w:ilvl w:val="0"/>
          <w:numId w:val="8"/>
        </w:numPr>
        <w:spacing w:line="276" w:lineRule="auto"/>
        <w:jc w:val="both"/>
      </w:pPr>
      <w:r>
        <w:t>No se cuenta con planes de trabajo anuales estatales.</w:t>
      </w:r>
    </w:p>
    <w:p w14:paraId="012CC4D7" w14:textId="77777777" w:rsidR="00C86DD4" w:rsidRDefault="00C86DD4" w:rsidP="00C86DD4">
      <w:pPr>
        <w:pStyle w:val="Prrafodelista"/>
        <w:numPr>
          <w:ilvl w:val="0"/>
          <w:numId w:val="8"/>
        </w:numPr>
        <w:spacing w:line="276" w:lineRule="auto"/>
        <w:jc w:val="both"/>
      </w:pPr>
      <w:r>
        <w:t>No se han realizado evaluaciones externas al fondo.</w:t>
      </w:r>
    </w:p>
    <w:p w14:paraId="2D881445" w14:textId="77777777" w:rsidR="00C86DD4" w:rsidRDefault="00C86DD4" w:rsidP="00C86DD4">
      <w:pPr>
        <w:pStyle w:val="Prrafodelista"/>
        <w:numPr>
          <w:ilvl w:val="0"/>
          <w:numId w:val="8"/>
        </w:numPr>
        <w:spacing w:line="276" w:lineRule="auto"/>
        <w:jc w:val="both"/>
      </w:pPr>
      <w:r>
        <w:t>No se recolecta información en campo.</w:t>
      </w:r>
    </w:p>
    <w:p w14:paraId="26072F01" w14:textId="77777777" w:rsidR="00C86DD4" w:rsidRDefault="00C86DD4" w:rsidP="00C86DD4">
      <w:pPr>
        <w:pStyle w:val="Prrafodelista"/>
        <w:numPr>
          <w:ilvl w:val="0"/>
          <w:numId w:val="8"/>
        </w:numPr>
        <w:spacing w:line="276" w:lineRule="auto"/>
        <w:jc w:val="both"/>
      </w:pPr>
      <w:r>
        <w:t>El programa no cuenta con un sistema de monitoreo de satisfacción de la población atendida.</w:t>
      </w:r>
    </w:p>
    <w:p w14:paraId="16A62042" w14:textId="77777777" w:rsidR="00C86DD4" w:rsidRDefault="00C86DD4" w:rsidP="00C86DD4">
      <w:pPr>
        <w:pStyle w:val="Prrafodelista"/>
        <w:numPr>
          <w:ilvl w:val="0"/>
          <w:numId w:val="8"/>
        </w:numPr>
        <w:spacing w:line="276" w:lineRule="auto"/>
        <w:jc w:val="both"/>
      </w:pPr>
      <w:r>
        <w:t>El fondo no cuenta con evaluaciones externas.</w:t>
      </w:r>
    </w:p>
    <w:p w14:paraId="7E3049E2" w14:textId="77777777" w:rsidR="00C86DD4" w:rsidRDefault="00C86DD4" w:rsidP="00C86DD4">
      <w:pPr>
        <w:pStyle w:val="Prrafodelista"/>
        <w:numPr>
          <w:ilvl w:val="0"/>
          <w:numId w:val="8"/>
        </w:numPr>
        <w:spacing w:line="276" w:lineRule="auto"/>
        <w:jc w:val="both"/>
      </w:pPr>
      <w:r>
        <w:t>El fondo no cuenta con información de estudios o evaluaciones nacionales e internacionales que midan el impacto entre programas similares.</w:t>
      </w:r>
    </w:p>
    <w:p w14:paraId="47C2EBBE" w14:textId="4E10F619" w:rsidR="00A165BB" w:rsidRPr="00A165BB" w:rsidRDefault="00C86DD4" w:rsidP="00C86DD4">
      <w:pPr>
        <w:pStyle w:val="Prrafodelista"/>
        <w:numPr>
          <w:ilvl w:val="0"/>
          <w:numId w:val="8"/>
        </w:numPr>
        <w:spacing w:line="276" w:lineRule="auto"/>
        <w:jc w:val="both"/>
      </w:pPr>
      <w:r>
        <w:t>El fondo no cuenta con evaluaciones de impacto.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D1547CC" w14:textId="77777777" w:rsidR="00814CBD" w:rsidRDefault="00814CBD" w:rsidP="00814CBD">
      <w:pPr>
        <w:spacing w:after="0" w:line="276" w:lineRule="auto"/>
        <w:ind w:left="284"/>
        <w:jc w:val="both"/>
      </w:pPr>
      <w: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14705260" w14:textId="77777777" w:rsidR="00814CBD" w:rsidRDefault="00814CBD" w:rsidP="00814CBD">
      <w:pPr>
        <w:spacing w:after="0" w:line="276" w:lineRule="auto"/>
        <w:ind w:left="284"/>
        <w:jc w:val="both"/>
      </w:pPr>
      <w: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31F36EB1" w14:textId="3C157A7A" w:rsidR="00113BCD" w:rsidRDefault="00814CBD" w:rsidP="00814CBD">
      <w:pPr>
        <w:spacing w:after="0" w:line="276" w:lineRule="auto"/>
        <w:ind w:left="284"/>
        <w:jc w:val="both"/>
      </w:pPr>
      <w:r>
        <w:t>Con base en las preguntas que tienen una repuesta binaria y que presentan una calificación se obtuvieron los resultados anotados en el siguiente cuadro. Como se puede observar, la puntuación global es de 1.42 sobre una calificación máxima de 4 para cada uno de los temas, sin embargo, es preciso anotar la calificación que se obtuvo en los seis apartados, como se muestra a continuación:</w:t>
      </w:r>
    </w:p>
    <w:p w14:paraId="1F085CC9" w14:textId="475E41E1" w:rsidR="00814CBD" w:rsidRDefault="00814CBD" w:rsidP="00814CBD">
      <w:pPr>
        <w:spacing w:after="0" w:line="276" w:lineRule="auto"/>
        <w:ind w:left="284"/>
        <w:jc w:val="both"/>
        <w:rPr>
          <w:lang w:val="es-ES"/>
        </w:rPr>
      </w:pPr>
    </w:p>
    <w:tbl>
      <w:tblPr>
        <w:tblStyle w:val="Tablaconcuadrcula"/>
        <w:tblW w:w="4645"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10"/>
        <w:gridCol w:w="2696"/>
      </w:tblGrid>
      <w:tr w:rsidR="00814CBD" w:rsidRPr="003932EA" w14:paraId="2BA67AB9" w14:textId="77777777" w:rsidTr="00C86DD4">
        <w:trPr>
          <w:trHeight w:val="609"/>
          <w:tblHeader/>
          <w:jc w:val="center"/>
        </w:trPr>
        <w:tc>
          <w:tcPr>
            <w:tcW w:w="3536" w:type="pct"/>
            <w:shd w:val="clear" w:color="auto" w:fill="404040" w:themeFill="text1" w:themeFillTint="BF"/>
            <w:vAlign w:val="center"/>
          </w:tcPr>
          <w:p w14:paraId="1945E95C" w14:textId="77777777" w:rsidR="00814CBD" w:rsidRPr="003932EA" w:rsidRDefault="00814CBD" w:rsidP="00580859">
            <w:pPr>
              <w:spacing w:after="0" w:line="240" w:lineRule="auto"/>
              <w:jc w:val="center"/>
              <w:rPr>
                <w:b/>
                <w:bCs/>
                <w:color w:val="FFFFFF" w:themeColor="background1"/>
                <w:sz w:val="20"/>
                <w:szCs w:val="20"/>
              </w:rPr>
            </w:pPr>
            <w:r w:rsidRPr="003932EA">
              <w:rPr>
                <w:b/>
                <w:bCs/>
                <w:color w:val="FFFFFF" w:themeColor="background1"/>
                <w:sz w:val="20"/>
                <w:szCs w:val="20"/>
              </w:rPr>
              <w:t>Tema</w:t>
            </w:r>
          </w:p>
        </w:tc>
        <w:tc>
          <w:tcPr>
            <w:tcW w:w="1464" w:type="pct"/>
            <w:shd w:val="clear" w:color="auto" w:fill="404040" w:themeFill="text1" w:themeFillTint="BF"/>
            <w:vAlign w:val="center"/>
          </w:tcPr>
          <w:p w14:paraId="2A163648" w14:textId="77777777" w:rsidR="00814CBD" w:rsidRDefault="00814CBD" w:rsidP="00580859">
            <w:pPr>
              <w:spacing w:after="0" w:line="240" w:lineRule="auto"/>
              <w:jc w:val="center"/>
              <w:rPr>
                <w:b/>
                <w:bCs/>
                <w:color w:val="FFFFFF" w:themeColor="background1"/>
                <w:sz w:val="20"/>
                <w:szCs w:val="20"/>
              </w:rPr>
            </w:pPr>
            <w:r w:rsidRPr="003932EA">
              <w:rPr>
                <w:b/>
                <w:bCs/>
                <w:color w:val="FFFFFF" w:themeColor="background1"/>
                <w:sz w:val="20"/>
                <w:szCs w:val="20"/>
              </w:rPr>
              <w:t>Calificación</w:t>
            </w:r>
          </w:p>
          <w:p w14:paraId="312D230D" w14:textId="77777777" w:rsidR="00814CBD" w:rsidRPr="003932EA" w:rsidRDefault="00814CBD" w:rsidP="00580859">
            <w:pPr>
              <w:spacing w:after="0" w:line="240" w:lineRule="auto"/>
              <w:jc w:val="center"/>
              <w:rPr>
                <w:b/>
                <w:bCs/>
                <w:color w:val="FFFFFF" w:themeColor="background1"/>
                <w:sz w:val="20"/>
                <w:szCs w:val="20"/>
              </w:rPr>
            </w:pPr>
            <w:r w:rsidRPr="003932EA">
              <w:rPr>
                <w:b/>
                <w:bCs/>
                <w:color w:val="FFFFFF" w:themeColor="background1"/>
                <w:sz w:val="20"/>
                <w:szCs w:val="20"/>
              </w:rPr>
              <w:t>ponderada</w:t>
            </w:r>
          </w:p>
        </w:tc>
      </w:tr>
      <w:tr w:rsidR="00814CBD" w:rsidRPr="003932EA" w14:paraId="71B9557C" w14:textId="77777777" w:rsidTr="00814CBD">
        <w:trPr>
          <w:trHeight w:val="340"/>
          <w:jc w:val="center"/>
        </w:trPr>
        <w:tc>
          <w:tcPr>
            <w:tcW w:w="3536" w:type="pct"/>
            <w:vAlign w:val="center"/>
          </w:tcPr>
          <w:p w14:paraId="2CBECC3F" w14:textId="77777777" w:rsidR="00814CBD" w:rsidRPr="003932EA" w:rsidRDefault="00814CBD" w:rsidP="00814CBD">
            <w:pPr>
              <w:spacing w:after="0" w:line="240" w:lineRule="auto"/>
              <w:rPr>
                <w:sz w:val="20"/>
                <w:szCs w:val="20"/>
              </w:rPr>
            </w:pPr>
            <w:r w:rsidRPr="003932EA">
              <w:rPr>
                <w:sz w:val="20"/>
                <w:szCs w:val="20"/>
              </w:rPr>
              <w:t>Diseño</w:t>
            </w:r>
          </w:p>
        </w:tc>
        <w:tc>
          <w:tcPr>
            <w:tcW w:w="1464" w:type="pct"/>
            <w:shd w:val="clear" w:color="auto" w:fill="auto"/>
            <w:vAlign w:val="center"/>
          </w:tcPr>
          <w:p w14:paraId="2EAE59D7" w14:textId="5A605A89" w:rsidR="00814CBD" w:rsidRPr="003932EA" w:rsidRDefault="00814CBD" w:rsidP="00814CBD">
            <w:pPr>
              <w:spacing w:after="0" w:line="240" w:lineRule="auto"/>
              <w:jc w:val="center"/>
              <w:rPr>
                <w:sz w:val="20"/>
                <w:szCs w:val="20"/>
              </w:rPr>
            </w:pPr>
            <w:r w:rsidRPr="00D31306">
              <w:t>1.67</w:t>
            </w:r>
          </w:p>
        </w:tc>
      </w:tr>
      <w:tr w:rsidR="00814CBD" w:rsidRPr="003932EA" w14:paraId="183D2F08" w14:textId="77777777" w:rsidTr="00814CBD">
        <w:trPr>
          <w:trHeight w:val="340"/>
          <w:jc w:val="center"/>
        </w:trPr>
        <w:tc>
          <w:tcPr>
            <w:tcW w:w="3536" w:type="pct"/>
            <w:vAlign w:val="center"/>
          </w:tcPr>
          <w:p w14:paraId="6E1161B7" w14:textId="77777777" w:rsidR="00814CBD" w:rsidRPr="003932EA" w:rsidRDefault="00814CBD" w:rsidP="00814CBD">
            <w:pPr>
              <w:spacing w:after="0" w:line="240" w:lineRule="auto"/>
              <w:rPr>
                <w:sz w:val="20"/>
                <w:szCs w:val="20"/>
              </w:rPr>
            </w:pPr>
            <w:r w:rsidRPr="003932EA">
              <w:rPr>
                <w:sz w:val="20"/>
                <w:szCs w:val="20"/>
              </w:rPr>
              <w:t>Planeación y orientación a resultados</w:t>
            </w:r>
          </w:p>
        </w:tc>
        <w:tc>
          <w:tcPr>
            <w:tcW w:w="1464" w:type="pct"/>
            <w:shd w:val="clear" w:color="auto" w:fill="auto"/>
            <w:vAlign w:val="center"/>
          </w:tcPr>
          <w:p w14:paraId="2BDEAA6F" w14:textId="2CCB0AEB" w:rsidR="00814CBD" w:rsidRPr="003932EA" w:rsidRDefault="00814CBD" w:rsidP="00814CBD">
            <w:pPr>
              <w:spacing w:after="0" w:line="240" w:lineRule="auto"/>
              <w:jc w:val="center"/>
              <w:rPr>
                <w:sz w:val="20"/>
                <w:szCs w:val="20"/>
              </w:rPr>
            </w:pPr>
            <w:r w:rsidRPr="00D31306">
              <w:t>1.33</w:t>
            </w:r>
          </w:p>
        </w:tc>
      </w:tr>
      <w:tr w:rsidR="00814CBD" w:rsidRPr="003932EA" w14:paraId="4256F989" w14:textId="77777777" w:rsidTr="00814CBD">
        <w:trPr>
          <w:trHeight w:val="340"/>
          <w:jc w:val="center"/>
        </w:trPr>
        <w:tc>
          <w:tcPr>
            <w:tcW w:w="3536" w:type="pct"/>
            <w:vAlign w:val="center"/>
          </w:tcPr>
          <w:p w14:paraId="7E41FD0D" w14:textId="77777777" w:rsidR="00814CBD" w:rsidRPr="003932EA" w:rsidRDefault="00814CBD" w:rsidP="00814CBD">
            <w:pPr>
              <w:spacing w:after="0" w:line="240" w:lineRule="auto"/>
              <w:rPr>
                <w:sz w:val="20"/>
                <w:szCs w:val="20"/>
              </w:rPr>
            </w:pPr>
            <w:r w:rsidRPr="003932EA">
              <w:rPr>
                <w:sz w:val="20"/>
                <w:szCs w:val="20"/>
              </w:rPr>
              <w:t>Cobertura y focalización</w:t>
            </w:r>
          </w:p>
        </w:tc>
        <w:tc>
          <w:tcPr>
            <w:tcW w:w="1464" w:type="pct"/>
            <w:shd w:val="clear" w:color="auto" w:fill="auto"/>
            <w:vAlign w:val="center"/>
          </w:tcPr>
          <w:p w14:paraId="4495CFF0" w14:textId="228DF671" w:rsidR="00814CBD" w:rsidRPr="003932EA" w:rsidRDefault="00814CBD" w:rsidP="00814CBD">
            <w:pPr>
              <w:spacing w:after="0" w:line="240" w:lineRule="auto"/>
              <w:jc w:val="center"/>
              <w:rPr>
                <w:sz w:val="20"/>
                <w:szCs w:val="20"/>
              </w:rPr>
            </w:pPr>
            <w:r w:rsidRPr="00D31306">
              <w:t>2.00</w:t>
            </w:r>
          </w:p>
        </w:tc>
      </w:tr>
      <w:tr w:rsidR="00814CBD" w:rsidRPr="003932EA" w14:paraId="750EEB59" w14:textId="77777777" w:rsidTr="00814CBD">
        <w:trPr>
          <w:trHeight w:val="340"/>
          <w:jc w:val="center"/>
        </w:trPr>
        <w:tc>
          <w:tcPr>
            <w:tcW w:w="3536" w:type="pct"/>
            <w:vAlign w:val="center"/>
          </w:tcPr>
          <w:p w14:paraId="1DAFE453" w14:textId="77777777" w:rsidR="00814CBD" w:rsidRPr="003932EA" w:rsidRDefault="00814CBD" w:rsidP="00814CBD">
            <w:pPr>
              <w:spacing w:after="0" w:line="240" w:lineRule="auto"/>
              <w:rPr>
                <w:sz w:val="20"/>
                <w:szCs w:val="20"/>
              </w:rPr>
            </w:pPr>
            <w:r w:rsidRPr="003932EA">
              <w:rPr>
                <w:sz w:val="20"/>
                <w:szCs w:val="20"/>
              </w:rPr>
              <w:t>Operación</w:t>
            </w:r>
          </w:p>
        </w:tc>
        <w:tc>
          <w:tcPr>
            <w:tcW w:w="1464" w:type="pct"/>
            <w:shd w:val="clear" w:color="auto" w:fill="auto"/>
            <w:vAlign w:val="center"/>
          </w:tcPr>
          <w:p w14:paraId="7FD6F8AC" w14:textId="58EA7FD6" w:rsidR="00814CBD" w:rsidRPr="003932EA" w:rsidRDefault="00814CBD" w:rsidP="00814CBD">
            <w:pPr>
              <w:spacing w:after="0" w:line="240" w:lineRule="auto"/>
              <w:jc w:val="center"/>
              <w:rPr>
                <w:sz w:val="20"/>
                <w:szCs w:val="20"/>
              </w:rPr>
            </w:pPr>
            <w:r w:rsidRPr="00D31306">
              <w:t>3.50</w:t>
            </w:r>
          </w:p>
        </w:tc>
      </w:tr>
      <w:tr w:rsidR="00814CBD" w:rsidRPr="003932EA" w14:paraId="35E4E72D" w14:textId="77777777" w:rsidTr="00814CBD">
        <w:trPr>
          <w:trHeight w:val="340"/>
          <w:jc w:val="center"/>
        </w:trPr>
        <w:tc>
          <w:tcPr>
            <w:tcW w:w="3536" w:type="pct"/>
            <w:vAlign w:val="center"/>
          </w:tcPr>
          <w:p w14:paraId="5867A1C1" w14:textId="77777777" w:rsidR="00814CBD" w:rsidRPr="003932EA" w:rsidRDefault="00814CBD" w:rsidP="00814CBD">
            <w:pPr>
              <w:spacing w:after="0" w:line="240" w:lineRule="auto"/>
              <w:rPr>
                <w:sz w:val="20"/>
                <w:szCs w:val="20"/>
              </w:rPr>
            </w:pPr>
            <w:r w:rsidRPr="003932EA">
              <w:rPr>
                <w:sz w:val="20"/>
                <w:szCs w:val="20"/>
              </w:rPr>
              <w:t>Percepción de la población atendida</w:t>
            </w:r>
          </w:p>
        </w:tc>
        <w:tc>
          <w:tcPr>
            <w:tcW w:w="1464" w:type="pct"/>
            <w:shd w:val="clear" w:color="auto" w:fill="auto"/>
            <w:vAlign w:val="center"/>
          </w:tcPr>
          <w:p w14:paraId="1AB53CA9" w14:textId="5A506C98" w:rsidR="00814CBD" w:rsidRPr="003932EA" w:rsidRDefault="00814CBD" w:rsidP="00814CBD">
            <w:pPr>
              <w:spacing w:after="0" w:line="240" w:lineRule="auto"/>
              <w:jc w:val="center"/>
              <w:rPr>
                <w:sz w:val="20"/>
                <w:szCs w:val="20"/>
              </w:rPr>
            </w:pPr>
            <w:r w:rsidRPr="00D31306">
              <w:t>0.00</w:t>
            </w:r>
          </w:p>
        </w:tc>
      </w:tr>
      <w:tr w:rsidR="00814CBD" w:rsidRPr="003932EA" w14:paraId="67F978E7" w14:textId="77777777" w:rsidTr="00814CBD">
        <w:trPr>
          <w:trHeight w:val="340"/>
          <w:jc w:val="center"/>
        </w:trPr>
        <w:tc>
          <w:tcPr>
            <w:tcW w:w="3536" w:type="pct"/>
            <w:vAlign w:val="center"/>
          </w:tcPr>
          <w:p w14:paraId="298583A3" w14:textId="77777777" w:rsidR="00814CBD" w:rsidRPr="003932EA" w:rsidRDefault="00814CBD" w:rsidP="00814CBD">
            <w:pPr>
              <w:spacing w:after="0" w:line="240" w:lineRule="auto"/>
              <w:rPr>
                <w:sz w:val="20"/>
                <w:szCs w:val="20"/>
              </w:rPr>
            </w:pPr>
            <w:r w:rsidRPr="003932EA">
              <w:rPr>
                <w:sz w:val="20"/>
                <w:szCs w:val="20"/>
              </w:rPr>
              <w:lastRenderedPageBreak/>
              <w:t>Medición de Resultados</w:t>
            </w:r>
          </w:p>
        </w:tc>
        <w:tc>
          <w:tcPr>
            <w:tcW w:w="1464" w:type="pct"/>
            <w:shd w:val="clear" w:color="auto" w:fill="auto"/>
            <w:vAlign w:val="center"/>
          </w:tcPr>
          <w:p w14:paraId="0217D956" w14:textId="22424686" w:rsidR="00814CBD" w:rsidRPr="003932EA" w:rsidRDefault="00814CBD" w:rsidP="00814CBD">
            <w:pPr>
              <w:spacing w:after="0" w:line="240" w:lineRule="auto"/>
              <w:jc w:val="center"/>
              <w:rPr>
                <w:sz w:val="20"/>
                <w:szCs w:val="20"/>
              </w:rPr>
            </w:pPr>
            <w:r w:rsidRPr="00D31306">
              <w:t>0.00</w:t>
            </w:r>
          </w:p>
        </w:tc>
      </w:tr>
      <w:tr w:rsidR="00814CBD" w:rsidRPr="003932EA" w14:paraId="6AC5B22D" w14:textId="77777777" w:rsidTr="00814CBD">
        <w:trPr>
          <w:trHeight w:val="397"/>
          <w:jc w:val="center"/>
        </w:trPr>
        <w:tc>
          <w:tcPr>
            <w:tcW w:w="3536" w:type="pct"/>
            <w:shd w:val="clear" w:color="auto" w:fill="F2F2F2" w:themeFill="background1" w:themeFillShade="F2"/>
            <w:vAlign w:val="center"/>
          </w:tcPr>
          <w:p w14:paraId="68A02CC1" w14:textId="77777777" w:rsidR="00814CBD" w:rsidRPr="003932EA" w:rsidRDefault="00814CBD" w:rsidP="00814CBD">
            <w:pPr>
              <w:spacing w:after="0" w:line="240" w:lineRule="auto"/>
              <w:jc w:val="right"/>
              <w:rPr>
                <w:b/>
                <w:bCs/>
                <w:sz w:val="20"/>
                <w:szCs w:val="20"/>
              </w:rPr>
            </w:pPr>
            <w:r w:rsidRPr="003932EA">
              <w:rPr>
                <w:b/>
                <w:bCs/>
                <w:sz w:val="20"/>
                <w:szCs w:val="20"/>
              </w:rPr>
              <w:t>Valoración final</w:t>
            </w:r>
          </w:p>
        </w:tc>
        <w:tc>
          <w:tcPr>
            <w:tcW w:w="1464" w:type="pct"/>
            <w:shd w:val="clear" w:color="auto" w:fill="F2F2F2" w:themeFill="background1" w:themeFillShade="F2"/>
            <w:vAlign w:val="center"/>
          </w:tcPr>
          <w:p w14:paraId="63E1DC1A" w14:textId="621D45CC" w:rsidR="00814CBD" w:rsidRPr="003932EA" w:rsidRDefault="00814CBD" w:rsidP="00814CBD">
            <w:pPr>
              <w:spacing w:after="0" w:line="240" w:lineRule="auto"/>
              <w:jc w:val="center"/>
              <w:rPr>
                <w:b/>
                <w:bCs/>
                <w:sz w:val="20"/>
                <w:szCs w:val="20"/>
              </w:rPr>
            </w:pPr>
            <w:r w:rsidRPr="00D31306">
              <w:t>1.42</w:t>
            </w:r>
          </w:p>
        </w:tc>
      </w:tr>
    </w:tbl>
    <w:p w14:paraId="061233FA" w14:textId="77777777" w:rsidR="00814CBD" w:rsidRDefault="00814CBD" w:rsidP="00814CBD">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632E8874" w14:textId="77777777" w:rsidR="00814CBD" w:rsidRDefault="00814CBD" w:rsidP="00814CBD">
      <w:pPr>
        <w:pStyle w:val="Prrafodelista"/>
        <w:numPr>
          <w:ilvl w:val="0"/>
          <w:numId w:val="2"/>
        </w:numPr>
        <w:spacing w:after="0" w:line="276" w:lineRule="auto"/>
        <w:jc w:val="both"/>
      </w:pPr>
      <w:r>
        <w:t>Realizar un diagnóstico del fondo que contengan información sobre el problema o necesidad, su población, su cuantificación y su proceso de revisión o actualización.</w:t>
      </w:r>
    </w:p>
    <w:p w14:paraId="0B35B96A" w14:textId="77777777" w:rsidR="00814CBD" w:rsidRDefault="00814CBD" w:rsidP="00814CBD">
      <w:pPr>
        <w:pStyle w:val="Prrafodelista"/>
        <w:numPr>
          <w:ilvl w:val="0"/>
          <w:numId w:val="2"/>
        </w:numPr>
        <w:spacing w:after="0" w:line="276" w:lineRule="auto"/>
        <w:jc w:val="both"/>
      </w:pPr>
      <w:r>
        <w:t>Crear el Árbol del Problema, Objetivos, Selección de Alternativas, Matriz de Indicadores de Resultados (MIR), Fichas Técnicas de Indicadores, lo anterior de acuerdo con las Metodologías sobre formulación de programas con Metodología del Marco Lógico (MML) y la Guía para el Diseño de Matriz de Indicadores para Resultados (MIR).</w:t>
      </w:r>
    </w:p>
    <w:p w14:paraId="2716C0DF" w14:textId="77777777" w:rsidR="00814CBD" w:rsidRDefault="00814CBD" w:rsidP="00814CBD">
      <w:pPr>
        <w:pStyle w:val="Prrafodelista"/>
        <w:numPr>
          <w:ilvl w:val="0"/>
          <w:numId w:val="2"/>
        </w:numPr>
        <w:spacing w:after="0" w:line="276" w:lineRule="auto"/>
        <w:jc w:val="both"/>
      </w:pPr>
      <w:r>
        <w:t>Elaborar un plan estratégico estatal.</w:t>
      </w:r>
    </w:p>
    <w:p w14:paraId="2EF1E8AE" w14:textId="77777777" w:rsidR="00814CBD" w:rsidRDefault="00814CBD" w:rsidP="00814CBD">
      <w:pPr>
        <w:pStyle w:val="Prrafodelista"/>
        <w:numPr>
          <w:ilvl w:val="0"/>
          <w:numId w:val="2"/>
        </w:numPr>
        <w:spacing w:after="0" w:line="276" w:lineRule="auto"/>
        <w:jc w:val="both"/>
      </w:pPr>
      <w:r>
        <w:t>Elaborar un plan de trabajo anual estatal.</w:t>
      </w:r>
    </w:p>
    <w:p w14:paraId="1178217F" w14:textId="77777777" w:rsidR="00814CBD" w:rsidRDefault="00814CBD" w:rsidP="00814CBD">
      <w:pPr>
        <w:pStyle w:val="Prrafodelista"/>
        <w:numPr>
          <w:ilvl w:val="0"/>
          <w:numId w:val="2"/>
        </w:numPr>
        <w:spacing w:after="0" w:line="276" w:lineRule="auto"/>
        <w:jc w:val="both"/>
      </w:pPr>
      <w:r>
        <w:t>Gestionar un mecanismo para conocer la satisfacción de la población atendida.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A36DF91" w:rsidR="006C747D" w:rsidRPr="00931729" w:rsidRDefault="006C747D" w:rsidP="00931729">
            <w:pPr>
              <w:pStyle w:val="Prrafodelista"/>
              <w:numPr>
                <w:ilvl w:val="1"/>
                <w:numId w:val="37"/>
              </w:numPr>
              <w:spacing w:after="0" w:line="276" w:lineRule="auto"/>
              <w:ind w:left="597"/>
              <w:rPr>
                <w:b/>
                <w:bCs/>
              </w:rPr>
            </w:pPr>
            <w:r w:rsidRPr="00931729">
              <w:rPr>
                <w:b/>
                <w:bCs/>
              </w:rPr>
              <w:t>Nombre del Coordinador de la Evaluación:</w:t>
            </w:r>
          </w:p>
        </w:tc>
      </w:tr>
      <w:tr w:rsidR="006E538E" w:rsidRPr="00133709" w14:paraId="1F81D70A" w14:textId="77777777" w:rsidTr="001F46D7">
        <w:trPr>
          <w:trHeight w:val="340"/>
        </w:trPr>
        <w:tc>
          <w:tcPr>
            <w:tcW w:w="9910" w:type="dxa"/>
            <w:tcBorders>
              <w:top w:val="nil"/>
              <w:left w:val="nil"/>
              <w:bottom w:val="nil"/>
              <w:right w:val="nil"/>
            </w:tcBorders>
            <w:shd w:val="clear" w:color="auto" w:fill="auto"/>
            <w:vAlign w:val="center"/>
          </w:tcPr>
          <w:p w14:paraId="29FB0F2C" w14:textId="6EE4D028" w:rsidR="006E538E" w:rsidRPr="006C731A" w:rsidRDefault="00E2166A" w:rsidP="006E538E">
            <w:pPr>
              <w:spacing w:after="0" w:line="276" w:lineRule="auto"/>
              <w:ind w:left="179"/>
            </w:pPr>
            <w:r w:rsidRPr="006C731A">
              <w:t>Emilio Hernández Sandoval</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119B915F" w:rsidR="006E538E" w:rsidRPr="00931729" w:rsidRDefault="006E538E" w:rsidP="00931729">
            <w:pPr>
              <w:pStyle w:val="Prrafodelista"/>
              <w:numPr>
                <w:ilvl w:val="1"/>
                <w:numId w:val="32"/>
              </w:numPr>
              <w:spacing w:after="0" w:line="276" w:lineRule="auto"/>
              <w:ind w:left="597"/>
              <w:rPr>
                <w:b/>
                <w:bCs/>
              </w:rPr>
            </w:pPr>
            <w:r w:rsidRPr="00931729">
              <w:rPr>
                <w:b/>
                <w:bCs/>
              </w:rPr>
              <w:t>Cargo:</w:t>
            </w:r>
          </w:p>
        </w:tc>
      </w:tr>
      <w:tr w:rsidR="00C86DD4" w:rsidRPr="00133709" w14:paraId="24B63811" w14:textId="77777777" w:rsidTr="001F46D7">
        <w:trPr>
          <w:trHeight w:val="340"/>
        </w:trPr>
        <w:tc>
          <w:tcPr>
            <w:tcW w:w="9910" w:type="dxa"/>
            <w:tcBorders>
              <w:top w:val="nil"/>
              <w:left w:val="nil"/>
              <w:bottom w:val="nil"/>
              <w:right w:val="nil"/>
            </w:tcBorders>
            <w:shd w:val="clear" w:color="auto" w:fill="auto"/>
          </w:tcPr>
          <w:p w14:paraId="0D8AE66A" w14:textId="12BD6139" w:rsidR="00C86DD4" w:rsidRPr="00133709" w:rsidRDefault="00E2166A" w:rsidP="00C86DD4">
            <w:pPr>
              <w:spacing w:after="0" w:line="276" w:lineRule="auto"/>
              <w:ind w:left="179"/>
            </w:pPr>
            <w:r>
              <w:t>Apoyo a Programas Sociales</w:t>
            </w:r>
          </w:p>
        </w:tc>
      </w:tr>
      <w:tr w:rsidR="00C86DD4"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44756A61" w:rsidR="00C86DD4" w:rsidRPr="00931729" w:rsidRDefault="00C86DD4" w:rsidP="00931729">
            <w:pPr>
              <w:pStyle w:val="Prrafodelista"/>
              <w:numPr>
                <w:ilvl w:val="1"/>
                <w:numId w:val="32"/>
              </w:numPr>
              <w:spacing w:after="0" w:line="276" w:lineRule="auto"/>
              <w:ind w:left="597"/>
              <w:rPr>
                <w:b/>
                <w:bCs/>
              </w:rPr>
            </w:pPr>
            <w:r w:rsidRPr="00931729">
              <w:rPr>
                <w:b/>
                <w:bCs/>
              </w:rPr>
              <w:t>Institución a la que Pertenece:</w:t>
            </w:r>
          </w:p>
        </w:tc>
      </w:tr>
      <w:tr w:rsidR="00C86DD4"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356CCBD1" w:rsidR="00C86DD4" w:rsidRPr="00133709" w:rsidRDefault="00C86DD4" w:rsidP="00C86DD4">
            <w:pPr>
              <w:spacing w:after="0" w:line="276" w:lineRule="auto"/>
              <w:ind w:left="179"/>
            </w:pPr>
            <w:r w:rsidRPr="00147CF3">
              <w:t>Secretaría de Bienestar y Desarrollo Sustentable</w:t>
            </w:r>
          </w:p>
        </w:tc>
      </w:tr>
      <w:tr w:rsidR="00C86DD4"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2BF4E08F" w:rsidR="00C86DD4" w:rsidRPr="00931729" w:rsidRDefault="00C86DD4" w:rsidP="00931729">
            <w:pPr>
              <w:pStyle w:val="Prrafodelista"/>
              <w:numPr>
                <w:ilvl w:val="1"/>
                <w:numId w:val="34"/>
              </w:numPr>
              <w:spacing w:after="0" w:line="276" w:lineRule="auto"/>
              <w:ind w:left="597"/>
              <w:rPr>
                <w:b/>
                <w:bCs/>
              </w:rPr>
            </w:pPr>
            <w:r w:rsidRPr="00931729">
              <w:rPr>
                <w:b/>
                <w:bCs/>
              </w:rPr>
              <w:t>Principales Colaboradores:</w:t>
            </w:r>
          </w:p>
        </w:tc>
      </w:tr>
      <w:tr w:rsidR="00C86DD4" w14:paraId="717D4485" w14:textId="77777777" w:rsidTr="001F46D7">
        <w:trPr>
          <w:trHeight w:val="340"/>
        </w:trPr>
        <w:tc>
          <w:tcPr>
            <w:tcW w:w="9910" w:type="dxa"/>
            <w:tcBorders>
              <w:top w:val="nil"/>
              <w:left w:val="nil"/>
              <w:bottom w:val="nil"/>
              <w:right w:val="nil"/>
            </w:tcBorders>
            <w:shd w:val="clear" w:color="auto" w:fill="auto"/>
            <w:vAlign w:val="center"/>
          </w:tcPr>
          <w:p w14:paraId="4DDDECBC" w14:textId="4CFE2F1F" w:rsidR="00C86DD4" w:rsidRDefault="00E2166A" w:rsidP="00C86DD4">
            <w:pPr>
              <w:spacing w:after="0" w:line="276" w:lineRule="auto"/>
              <w:ind w:left="179"/>
            </w:pPr>
            <w:r>
              <w:t>Hare de Jesús Jiménez Rosas</w:t>
            </w:r>
          </w:p>
          <w:p w14:paraId="5152B4EE" w14:textId="1B52BE74" w:rsidR="00E2166A" w:rsidRDefault="00E2166A" w:rsidP="00C86DD4">
            <w:pPr>
              <w:spacing w:after="0" w:line="276" w:lineRule="auto"/>
              <w:ind w:left="179"/>
            </w:pPr>
            <w:r>
              <w:t>Erivando Monárres González</w:t>
            </w:r>
          </w:p>
          <w:p w14:paraId="2908360E" w14:textId="274321E2" w:rsidR="006C731A" w:rsidRDefault="006C731A" w:rsidP="00C86DD4">
            <w:pPr>
              <w:spacing w:after="0" w:line="276" w:lineRule="auto"/>
              <w:ind w:left="179"/>
            </w:pPr>
            <w:r>
              <w:t>Juan Diego Millán López</w:t>
            </w:r>
          </w:p>
          <w:p w14:paraId="0708A3B6" w14:textId="3366ADF2" w:rsidR="006C731A" w:rsidRPr="00133709" w:rsidRDefault="006C731A" w:rsidP="00C86DD4">
            <w:pPr>
              <w:spacing w:after="0" w:line="276" w:lineRule="auto"/>
              <w:ind w:left="179"/>
            </w:pPr>
            <w:r>
              <w:t>Brenda Paola Torres González</w:t>
            </w:r>
          </w:p>
        </w:tc>
      </w:tr>
      <w:tr w:rsidR="00C86DD4"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222AFAC4" w:rsidR="00C86DD4" w:rsidRPr="00931729" w:rsidRDefault="00C86DD4" w:rsidP="00931729">
            <w:pPr>
              <w:pStyle w:val="Prrafodelista"/>
              <w:numPr>
                <w:ilvl w:val="1"/>
                <w:numId w:val="35"/>
              </w:numPr>
              <w:spacing w:after="0" w:line="276" w:lineRule="auto"/>
              <w:ind w:left="597"/>
              <w:rPr>
                <w:b/>
                <w:bCs/>
              </w:rPr>
            </w:pPr>
            <w:r w:rsidRPr="00931729">
              <w:rPr>
                <w:b/>
                <w:bCs/>
              </w:rPr>
              <w:t>Correo Electrónico del Coordinador de la Evaluación:</w:t>
            </w:r>
          </w:p>
        </w:tc>
      </w:tr>
      <w:tr w:rsidR="00C86DD4" w14:paraId="2838CAD1" w14:textId="77777777" w:rsidTr="001F46D7">
        <w:trPr>
          <w:trHeight w:val="340"/>
        </w:trPr>
        <w:tc>
          <w:tcPr>
            <w:tcW w:w="9910" w:type="dxa"/>
            <w:tcBorders>
              <w:top w:val="nil"/>
              <w:left w:val="nil"/>
              <w:bottom w:val="nil"/>
              <w:right w:val="nil"/>
            </w:tcBorders>
            <w:shd w:val="clear" w:color="auto" w:fill="auto"/>
            <w:vAlign w:val="center"/>
          </w:tcPr>
          <w:p w14:paraId="76294494" w14:textId="2F4E139C" w:rsidR="00C86DD4" w:rsidRPr="00133709" w:rsidRDefault="001F46D7" w:rsidP="00C86DD4">
            <w:pPr>
              <w:spacing w:after="0" w:line="276" w:lineRule="auto"/>
              <w:ind w:left="179"/>
            </w:pPr>
            <w:hyperlink r:id="rId8" w:history="1">
              <w:r w:rsidRPr="001368C7">
                <w:rPr>
                  <w:rStyle w:val="Hipervnculo"/>
                </w:rPr>
                <w:t>emilio.hernandez@sinaloa.gob.mx</w:t>
              </w:r>
            </w:hyperlink>
          </w:p>
        </w:tc>
      </w:tr>
      <w:tr w:rsidR="00C86DD4"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C86DD4" w:rsidRPr="006C747D" w:rsidRDefault="00C86DD4" w:rsidP="00931729">
            <w:pPr>
              <w:pStyle w:val="Prrafodelista"/>
              <w:numPr>
                <w:ilvl w:val="1"/>
                <w:numId w:val="35"/>
              </w:numPr>
              <w:spacing w:after="0" w:line="276" w:lineRule="auto"/>
              <w:ind w:left="604"/>
              <w:rPr>
                <w:b/>
                <w:bCs/>
              </w:rPr>
            </w:pPr>
            <w:r w:rsidRPr="006C747D">
              <w:rPr>
                <w:b/>
                <w:bCs/>
              </w:rPr>
              <w:t>Teléfono:</w:t>
            </w:r>
          </w:p>
        </w:tc>
      </w:tr>
      <w:tr w:rsidR="00C86DD4" w14:paraId="5B243D8D" w14:textId="77777777" w:rsidTr="001F46D7">
        <w:trPr>
          <w:trHeight w:val="340"/>
        </w:trPr>
        <w:tc>
          <w:tcPr>
            <w:tcW w:w="9910" w:type="dxa"/>
            <w:tcBorders>
              <w:top w:val="nil"/>
              <w:left w:val="nil"/>
              <w:bottom w:val="nil"/>
              <w:right w:val="nil"/>
            </w:tcBorders>
            <w:shd w:val="clear" w:color="auto" w:fill="auto"/>
            <w:vAlign w:val="center"/>
          </w:tcPr>
          <w:p w14:paraId="50AB6A92" w14:textId="4BCEAEE2" w:rsidR="00C86DD4" w:rsidRPr="00133709" w:rsidRDefault="00C86DD4" w:rsidP="00C86DD4">
            <w:pPr>
              <w:spacing w:after="0" w:line="276" w:lineRule="auto"/>
              <w:ind w:left="179"/>
            </w:pPr>
            <w:r>
              <w:t>(</w:t>
            </w:r>
            <w:r w:rsidRPr="00147CF3">
              <w:t>667</w:t>
            </w:r>
            <w:r>
              <w:t>)</w:t>
            </w:r>
            <w:r w:rsidRPr="00147CF3">
              <w:t xml:space="preserve"> 758 70 00 </w:t>
            </w:r>
            <w:r>
              <w:t>E</w:t>
            </w:r>
            <w:r w:rsidRPr="00147CF3">
              <w:t>xt. 2212, 2217 y 2228</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087F97AC" w:rsidR="007C4CD6" w:rsidRPr="00521401" w:rsidRDefault="00C86DD4" w:rsidP="00521401">
            <w:pPr>
              <w:spacing w:after="0" w:line="276" w:lineRule="auto"/>
              <w:ind w:left="179"/>
            </w:pPr>
            <w:r>
              <w:t>Fondo para la Infraestructura Social de las Entidades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4B1CA0F0" w:rsidR="007C4CD6" w:rsidRPr="007C4CD6" w:rsidRDefault="00C86DD4" w:rsidP="00521401">
            <w:pPr>
              <w:spacing w:after="0" w:line="276" w:lineRule="auto"/>
              <w:ind w:left="179"/>
            </w:pPr>
            <w:r>
              <w:t>FISE</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Ente Público Coordinador del (os) Programa(s):</w:t>
            </w:r>
          </w:p>
        </w:tc>
      </w:tr>
      <w:tr w:rsidR="00C86DD4" w14:paraId="0777E431" w14:textId="77777777" w:rsidTr="0008479E">
        <w:trPr>
          <w:trHeight w:val="340"/>
        </w:trPr>
        <w:tc>
          <w:tcPr>
            <w:tcW w:w="9910" w:type="dxa"/>
            <w:gridSpan w:val="4"/>
            <w:shd w:val="clear" w:color="auto" w:fill="auto"/>
            <w:vAlign w:val="center"/>
          </w:tcPr>
          <w:p w14:paraId="7D53808F" w14:textId="69F63382" w:rsidR="00C86DD4" w:rsidRPr="007C4CD6" w:rsidRDefault="00C86DD4" w:rsidP="00C86DD4">
            <w:pPr>
              <w:spacing w:after="0" w:line="276" w:lineRule="auto"/>
              <w:ind w:left="179"/>
            </w:pPr>
            <w:r>
              <w:t>Secretaría de Bienestar y Desarrollo Sustentable</w:t>
            </w:r>
          </w:p>
        </w:tc>
      </w:tr>
      <w:tr w:rsidR="00C86DD4"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C86DD4" w:rsidRPr="007C4CD6" w:rsidRDefault="00C86DD4" w:rsidP="00C86DD4">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C86DD4"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C86DD4" w:rsidRPr="005A28B9" w:rsidRDefault="00C86DD4" w:rsidP="00C86DD4">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C86DD4" w:rsidRPr="005A28B9" w:rsidRDefault="00C86DD4" w:rsidP="00C86DD4">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C86DD4" w:rsidRPr="005A28B9" w:rsidRDefault="00C86DD4" w:rsidP="00C86DD4">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C86DD4" w:rsidRPr="005A28B9" w:rsidRDefault="00C86DD4" w:rsidP="00C86DD4">
            <w:pPr>
              <w:spacing w:after="0" w:line="276" w:lineRule="auto"/>
              <w:jc w:val="center"/>
              <w:rPr>
                <w:b/>
                <w:bCs/>
              </w:rPr>
            </w:pPr>
            <w:r w:rsidRPr="005A28B9">
              <w:rPr>
                <w:b/>
                <w:bCs/>
              </w:rPr>
              <w:t>Ente Autónomo:</w:t>
            </w:r>
          </w:p>
        </w:tc>
      </w:tr>
      <w:tr w:rsidR="00C86DD4" w14:paraId="065D360B" w14:textId="77777777" w:rsidTr="00EA460E">
        <w:trPr>
          <w:trHeight w:val="340"/>
        </w:trPr>
        <w:tc>
          <w:tcPr>
            <w:tcW w:w="2405" w:type="dxa"/>
            <w:shd w:val="clear" w:color="auto" w:fill="auto"/>
            <w:vAlign w:val="center"/>
          </w:tcPr>
          <w:p w14:paraId="43D369B0" w14:textId="14940EDA" w:rsidR="00C86DD4" w:rsidRPr="00A16BE7" w:rsidRDefault="00C86DD4" w:rsidP="00C86DD4">
            <w:pPr>
              <w:spacing w:after="0" w:line="276" w:lineRule="auto"/>
              <w:jc w:val="center"/>
            </w:pPr>
            <w:r>
              <w:t>X</w:t>
            </w:r>
          </w:p>
        </w:tc>
        <w:tc>
          <w:tcPr>
            <w:tcW w:w="2410" w:type="dxa"/>
            <w:shd w:val="clear" w:color="auto" w:fill="auto"/>
            <w:vAlign w:val="center"/>
          </w:tcPr>
          <w:p w14:paraId="208A5616" w14:textId="4F6A786F" w:rsidR="00C86DD4" w:rsidRPr="00A16BE7" w:rsidRDefault="00C86DD4" w:rsidP="00C86DD4">
            <w:pPr>
              <w:spacing w:after="0" w:line="276" w:lineRule="auto"/>
              <w:jc w:val="center"/>
            </w:pPr>
          </w:p>
        </w:tc>
        <w:tc>
          <w:tcPr>
            <w:tcW w:w="2551" w:type="dxa"/>
            <w:shd w:val="clear" w:color="auto" w:fill="auto"/>
            <w:vAlign w:val="center"/>
          </w:tcPr>
          <w:p w14:paraId="761558F7" w14:textId="77777777" w:rsidR="00C86DD4" w:rsidRPr="00A16BE7" w:rsidRDefault="00C86DD4" w:rsidP="00C86DD4">
            <w:pPr>
              <w:spacing w:after="0" w:line="276" w:lineRule="auto"/>
              <w:jc w:val="center"/>
            </w:pPr>
          </w:p>
        </w:tc>
        <w:tc>
          <w:tcPr>
            <w:tcW w:w="2544" w:type="dxa"/>
            <w:shd w:val="clear" w:color="auto" w:fill="auto"/>
            <w:vAlign w:val="center"/>
          </w:tcPr>
          <w:p w14:paraId="2C02E6CE" w14:textId="77777777" w:rsidR="00C86DD4" w:rsidRPr="00A16BE7" w:rsidRDefault="00C86DD4" w:rsidP="00C86DD4">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1F46D7">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01E5028D" w:rsidR="00090637" w:rsidRPr="00090637" w:rsidRDefault="001F46D7"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1F46D7">
        <w:trPr>
          <w:trHeight w:val="340"/>
        </w:trPr>
        <w:tc>
          <w:tcPr>
            <w:tcW w:w="9910" w:type="dxa"/>
            <w:gridSpan w:val="3"/>
            <w:shd w:val="clear" w:color="auto" w:fill="auto"/>
          </w:tcPr>
          <w:p w14:paraId="7091B8EA" w14:textId="136DD81C" w:rsidR="005065B9" w:rsidRPr="00521401" w:rsidRDefault="00C86DD4" w:rsidP="005065B9">
            <w:pPr>
              <w:spacing w:after="0" w:line="276" w:lineRule="auto"/>
              <w:ind w:left="179"/>
            </w:pPr>
            <w:r w:rsidRPr="00147CF3">
              <w:t>Jehovany Torres Ayala</w:t>
            </w:r>
            <w:bookmarkStart w:id="0" w:name="_GoBack"/>
            <w:bookmarkEnd w:id="0"/>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1F46D7">
        <w:trPr>
          <w:trHeight w:val="340"/>
        </w:trPr>
        <w:tc>
          <w:tcPr>
            <w:tcW w:w="9910" w:type="dxa"/>
            <w:gridSpan w:val="3"/>
            <w:shd w:val="clear" w:color="auto" w:fill="auto"/>
          </w:tcPr>
          <w:p w14:paraId="54E4AA94" w14:textId="18A4E751" w:rsidR="00A4624B" w:rsidRPr="007301C5" w:rsidRDefault="006B5EF8" w:rsidP="00A4624B">
            <w:pPr>
              <w:spacing w:after="0" w:line="276" w:lineRule="auto"/>
              <w:ind w:left="179"/>
            </w:pPr>
            <w:hyperlink r:id="rId9" w:history="1">
              <w:r w:rsidR="00C86DD4" w:rsidRPr="00F72079">
                <w:rPr>
                  <w:rStyle w:val="Hipervnculo"/>
                </w:rPr>
                <w:t>jehovany.torres@sinaloa.gob.mx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1F46D7">
        <w:trPr>
          <w:trHeight w:val="340"/>
        </w:trPr>
        <w:tc>
          <w:tcPr>
            <w:tcW w:w="9910" w:type="dxa"/>
            <w:gridSpan w:val="3"/>
            <w:shd w:val="clear" w:color="auto" w:fill="auto"/>
            <w:vAlign w:val="center"/>
          </w:tcPr>
          <w:p w14:paraId="138DA773" w14:textId="4BE43B41" w:rsidR="004E1FF7" w:rsidRPr="007301C5" w:rsidRDefault="00C86DD4" w:rsidP="004E1FF7">
            <w:pPr>
              <w:spacing w:after="0" w:line="276" w:lineRule="auto"/>
              <w:ind w:left="179"/>
            </w:pPr>
            <w:r w:rsidRPr="00147CF3">
              <w:t>Coordinación de Gestión e Inversión</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1F46D7">
        <w:trPr>
          <w:trHeight w:val="340"/>
        </w:trPr>
        <w:tc>
          <w:tcPr>
            <w:tcW w:w="9910" w:type="dxa"/>
            <w:gridSpan w:val="3"/>
            <w:shd w:val="clear" w:color="auto" w:fill="auto"/>
          </w:tcPr>
          <w:p w14:paraId="6F19C066" w14:textId="7F719093" w:rsidR="004E1FF7" w:rsidRPr="007301C5" w:rsidRDefault="00C86DD4" w:rsidP="004E1FF7">
            <w:pPr>
              <w:spacing w:after="0" w:line="276" w:lineRule="auto"/>
              <w:ind w:left="179"/>
            </w:pPr>
            <w:r>
              <w:t>(</w:t>
            </w:r>
            <w:r w:rsidRPr="00147CF3">
              <w:t>667</w:t>
            </w:r>
            <w:r>
              <w:t>)</w:t>
            </w:r>
            <w:r w:rsidRPr="00147CF3">
              <w:t xml:space="preserve"> 758 70 00 </w:t>
            </w:r>
            <w:r>
              <w:t>E</w:t>
            </w:r>
            <w:r w:rsidRPr="00147CF3">
              <w:t>xt. 2212, 2217 y 2228</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66F9C61D" w:rsidR="00090637" w:rsidRPr="00866990" w:rsidRDefault="00C86DD4" w:rsidP="00521401">
            <w:pPr>
              <w:spacing w:after="0" w:line="276" w:lineRule="auto"/>
              <w:ind w:left="179"/>
            </w:pPr>
            <w:r w:rsidRPr="00AA4054">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29D6FBE4" w:rsidR="00090637" w:rsidRPr="00866990" w:rsidRDefault="00C86DD4" w:rsidP="00521401">
            <w:pPr>
              <w:spacing w:after="0" w:line="276" w:lineRule="auto"/>
              <w:ind w:left="179"/>
            </w:pPr>
            <w:r w:rsidRPr="00AA4054">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38E7AA4A" w:rsidR="004C435E" w:rsidRPr="00866990" w:rsidRDefault="00C86DD4" w:rsidP="004C435E">
            <w:pPr>
              <w:spacing w:after="0" w:line="276" w:lineRule="auto"/>
              <w:ind w:left="179"/>
            </w:pPr>
            <w:r w:rsidRPr="00AA4054">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49403024"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B5EF8">
          <w:rPr>
            <w:b/>
            <w:bCs/>
            <w:noProof/>
            <w:sz w:val="18"/>
            <w:szCs w:val="18"/>
          </w:rPr>
          <w:t>6</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6FE47DC4"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B5EF8" w:rsidRPr="006B5EF8">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EA442D" w:rsidRDefault="0008479E" w:rsidP="0008479E">
    <w:pPr>
      <w:ind w:left="3828"/>
      <w:jc w:val="right"/>
      <w:rPr>
        <w:rFonts w:ascii="Medium" w:hAnsi="Medium" w:cs="Arial"/>
        <w:b/>
        <w:color w:val="595959" w:themeColor="text1" w:themeTint="A6"/>
        <w:sz w:val="26"/>
        <w:szCs w:val="26"/>
      </w:rPr>
    </w:pPr>
    <w:r w:rsidRPr="00EA442D">
      <w:rPr>
        <w:rFonts w:ascii="Medium" w:hAnsi="Medium" w:cs="Arial"/>
        <w:b/>
        <w:noProof/>
        <w:color w:val="595959" w:themeColor="text1" w:themeTint="A6"/>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A442D">
      <w:rPr>
        <w:rFonts w:ascii="Medium" w:hAnsi="Medium" w:cs="Arial"/>
        <w:b/>
        <w:color w:val="595959" w:themeColor="text1" w:themeTint="A6"/>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5pt;height:595.7pt" o:bullet="t">
        <v:imagedata r:id="rId1" o:title="03"/>
      </v:shape>
    </w:pict>
  </w:numPicBullet>
  <w:numPicBullet w:numPicBulletId="1">
    <w:pict>
      <v:shape id="_x0000_i1027" type="#_x0000_t75" style="width:282.55pt;height:296.1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244E2E"/>
    <w:multiLevelType w:val="multilevel"/>
    <w:tmpl w:val="EC68F40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B0C48AF"/>
    <w:multiLevelType w:val="hybridMultilevel"/>
    <w:tmpl w:val="6E9CC796"/>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0" w15:restartNumberingAfterBreak="0">
    <w:nsid w:val="262B752B"/>
    <w:multiLevelType w:val="multilevel"/>
    <w:tmpl w:val="EC68F4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4"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4D2BB7"/>
    <w:multiLevelType w:val="multilevel"/>
    <w:tmpl w:val="80B06D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1"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1CD70FD"/>
    <w:multiLevelType w:val="multilevel"/>
    <w:tmpl w:val="BB424A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7"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8" w15:restartNumberingAfterBreak="0">
    <w:nsid w:val="65E24F25"/>
    <w:multiLevelType w:val="multilevel"/>
    <w:tmpl w:val="EC68F4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56771F"/>
    <w:multiLevelType w:val="multilevel"/>
    <w:tmpl w:val="738C43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9"/>
  </w:num>
  <w:num w:numId="2">
    <w:abstractNumId w:val="26"/>
  </w:num>
  <w:num w:numId="3">
    <w:abstractNumId w:val="9"/>
  </w:num>
  <w:num w:numId="4">
    <w:abstractNumId w:val="23"/>
  </w:num>
  <w:num w:numId="5">
    <w:abstractNumId w:val="2"/>
    <w:lvlOverride w:ilvl="1">
      <w:lvl w:ilvl="1">
        <w:start w:val="1"/>
        <w:numFmt w:val="decimal"/>
        <w:lvlText w:val="%1.%2."/>
        <w:lvlJc w:val="left"/>
        <w:pPr>
          <w:ind w:left="792" w:hanging="432"/>
        </w:pPr>
        <w:rPr>
          <w:b/>
        </w:rPr>
      </w:lvl>
    </w:lvlOverride>
  </w:num>
  <w:num w:numId="6">
    <w:abstractNumId w:val="34"/>
  </w:num>
  <w:num w:numId="7">
    <w:abstractNumId w:val="35"/>
  </w:num>
  <w:num w:numId="8">
    <w:abstractNumId w:val="36"/>
  </w:num>
  <w:num w:numId="9">
    <w:abstractNumId w:val="25"/>
  </w:num>
  <w:num w:numId="10">
    <w:abstractNumId w:val="15"/>
  </w:num>
  <w:num w:numId="11">
    <w:abstractNumId w:val="18"/>
  </w:num>
  <w:num w:numId="12">
    <w:abstractNumId w:val="33"/>
  </w:num>
  <w:num w:numId="13">
    <w:abstractNumId w:val="32"/>
  </w:num>
  <w:num w:numId="14">
    <w:abstractNumId w:val="27"/>
  </w:num>
  <w:num w:numId="15">
    <w:abstractNumId w:val="20"/>
  </w:num>
  <w:num w:numId="16">
    <w:abstractNumId w:val="5"/>
  </w:num>
  <w:num w:numId="17">
    <w:abstractNumId w:val="8"/>
  </w:num>
  <w:num w:numId="18">
    <w:abstractNumId w:val="21"/>
  </w:num>
  <w:num w:numId="19">
    <w:abstractNumId w:val="19"/>
  </w:num>
  <w:num w:numId="20">
    <w:abstractNumId w:val="7"/>
  </w:num>
  <w:num w:numId="21">
    <w:abstractNumId w:val="3"/>
  </w:num>
  <w:num w:numId="22">
    <w:abstractNumId w:val="17"/>
  </w:num>
  <w:num w:numId="23">
    <w:abstractNumId w:val="31"/>
  </w:num>
  <w:num w:numId="24">
    <w:abstractNumId w:val="14"/>
  </w:num>
  <w:num w:numId="25">
    <w:abstractNumId w:val="22"/>
  </w:num>
  <w:num w:numId="26">
    <w:abstractNumId w:val="11"/>
  </w:num>
  <w:num w:numId="27">
    <w:abstractNumId w:val="13"/>
  </w:num>
  <w:num w:numId="28">
    <w:abstractNumId w:val="0"/>
  </w:num>
  <w:num w:numId="29">
    <w:abstractNumId w:val="12"/>
  </w:num>
  <w:num w:numId="30">
    <w:abstractNumId w:val="1"/>
  </w:num>
  <w:num w:numId="31">
    <w:abstractNumId w:val="6"/>
  </w:num>
  <w:num w:numId="32">
    <w:abstractNumId w:val="4"/>
  </w:num>
  <w:num w:numId="33">
    <w:abstractNumId w:val="24"/>
  </w:num>
  <w:num w:numId="34">
    <w:abstractNumId w:val="30"/>
  </w:num>
  <w:num w:numId="35">
    <w:abstractNumId w:val="28"/>
  </w:num>
  <w:num w:numId="36">
    <w:abstractNumId w:val="16"/>
  </w:num>
  <w:num w:numId="3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46D7"/>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B5EF8"/>
    <w:rsid w:val="006C0CCC"/>
    <w:rsid w:val="006C731A"/>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21D71"/>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14CBD"/>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1729"/>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6DD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166A"/>
    <w:rsid w:val="00E236DA"/>
    <w:rsid w:val="00E42310"/>
    <w:rsid w:val="00E474E8"/>
    <w:rsid w:val="00E4783D"/>
    <w:rsid w:val="00E529A2"/>
    <w:rsid w:val="00E55352"/>
    <w:rsid w:val="00E66462"/>
    <w:rsid w:val="00E74948"/>
    <w:rsid w:val="00E85EDC"/>
    <w:rsid w:val="00E91A09"/>
    <w:rsid w:val="00E95051"/>
    <w:rsid w:val="00EA4287"/>
    <w:rsid w:val="00EA442D"/>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o.hernandez@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hovany.torre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5D7D-5651-4F0F-9B2F-75E3F1F8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51</TotalTime>
  <Pages>6</Pages>
  <Words>2030</Words>
  <Characters>11168</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hp</cp:lastModifiedBy>
  <cp:revision>16</cp:revision>
  <cp:lastPrinted>2022-06-17T19:35:00Z</cp:lastPrinted>
  <dcterms:created xsi:type="dcterms:W3CDTF">2022-12-06T19:20:00Z</dcterms:created>
  <dcterms:modified xsi:type="dcterms:W3CDTF">2023-11-10T17:54:00Z</dcterms:modified>
</cp:coreProperties>
</file>